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CB96FB8">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firstLine="0" w:firstLineChars="0"/>
        <w:jc w:val="center"/>
        <w:textAlignment w:val="auto"/>
        <w:rPr>
          <w:rFonts w:hint="eastAsia" w:asciiTheme="majorEastAsia" w:hAnsiTheme="majorEastAsia" w:eastAsiaTheme="majorEastAsia" w:cstheme="majorEastAsia"/>
          <w:sz w:val="44"/>
          <w:szCs w:val="44"/>
        </w:rPr>
      </w:pPr>
      <w:r>
        <w:rPr>
          <w:rStyle w:val="12"/>
          <w:rFonts w:hint="eastAsia" w:asciiTheme="majorEastAsia" w:hAnsiTheme="majorEastAsia" w:eastAsiaTheme="majorEastAsia" w:cstheme="majorEastAsia"/>
          <w:sz w:val="44"/>
          <w:szCs w:val="44"/>
        </w:rPr>
        <w:t>海口市项目支出绩效自评报告</w:t>
      </w:r>
    </w:p>
    <w:p w14:paraId="1E2A44F6">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ascii="黑体" w:hAnsi="宋体" w:eastAsia="黑体" w:cs="黑体"/>
          <w:sz w:val="32"/>
          <w:szCs w:val="32"/>
        </w:rPr>
      </w:pPr>
    </w:p>
    <w:p w14:paraId="0BFF2374">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ascii="黑体" w:hAnsi="宋体" w:eastAsia="黑体" w:cs="黑体"/>
          <w:sz w:val="32"/>
          <w:szCs w:val="32"/>
        </w:rPr>
        <w:t>一、项目概况    </w:t>
      </w:r>
    </w:p>
    <w:p w14:paraId="16D48602">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 xml:space="preserve">（一）项目基本情况：立项情况、实施主体项目、资金及主要内容  </w:t>
      </w:r>
    </w:p>
    <w:p w14:paraId="2AA07335">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hint="eastAsia" w:eastAsia="仿宋_GB2312"/>
          <w:sz w:val="32"/>
          <w:szCs w:val="32"/>
          <w:lang w:eastAsia="zh-CN"/>
        </w:rPr>
      </w:pPr>
      <w:r>
        <w:rPr>
          <w:rFonts w:hint="eastAsia" w:ascii="仿宋_GB2312" w:eastAsia="仿宋_GB2312" w:cs="仿宋_GB2312"/>
          <w:sz w:val="32"/>
          <w:szCs w:val="32"/>
        </w:rPr>
        <w:t>预算单位海南华侨中学的项目改善普通高中学校办学条件补助资金属于部门项目</w:t>
      </w:r>
      <w:r>
        <w:rPr>
          <w:rFonts w:hint="eastAsia" w:ascii="仿宋_GB2312" w:eastAsia="仿宋_GB2312" w:cs="仿宋_GB2312"/>
          <w:sz w:val="32"/>
          <w:szCs w:val="32"/>
          <w:lang w:eastAsia="zh-CN"/>
        </w:rPr>
        <w:t>，</w:t>
      </w:r>
      <w:r>
        <w:rPr>
          <w:rFonts w:hint="eastAsia" w:ascii="仿宋_GB2312" w:eastAsia="仿宋_GB2312" w:cs="仿宋_GB2312"/>
          <w:sz w:val="32"/>
          <w:szCs w:val="32"/>
        </w:rPr>
        <w:t>主管部门为海口市教育局</w:t>
      </w:r>
      <w:r>
        <w:rPr>
          <w:rFonts w:hint="eastAsia" w:ascii="仿宋_GB2312" w:eastAsia="仿宋_GB2312" w:cs="仿宋_GB2312"/>
          <w:sz w:val="32"/>
          <w:szCs w:val="32"/>
          <w:lang w:eastAsia="zh-CN"/>
        </w:rPr>
        <w:t>。</w:t>
      </w:r>
    </w:p>
    <w:p w14:paraId="2D09072A">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项目负责人为：王亚顺</w:t>
      </w:r>
    </w:p>
    <w:p w14:paraId="27F3E154">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联系电话：66702392</w:t>
      </w:r>
    </w:p>
    <w:p w14:paraId="50EEB495">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项目概述如下：</w:t>
      </w:r>
      <w:r>
        <w:rPr>
          <w:rFonts w:hint="eastAsia" w:ascii="仿宋_GB2312" w:eastAsia="仿宋_GB2312" w:cs="仿宋_GB2312"/>
          <w:color w:val="auto"/>
          <w:sz w:val="32"/>
          <w:szCs w:val="32"/>
        </w:rPr>
        <w:t>改善普通高中学校办学条件补助资金</w:t>
      </w:r>
      <w:r>
        <w:rPr>
          <w:rFonts w:hint="eastAsia" w:ascii="仿宋_GB2312" w:eastAsia="仿宋_GB2312" w:cs="仿宋_GB2312"/>
          <w:color w:val="auto"/>
          <w:sz w:val="32"/>
          <w:szCs w:val="32"/>
          <w:lang w:val="en-US" w:eastAsia="zh-CN"/>
        </w:rPr>
        <w:t>项目为省级补助，主要用于海南华侨中学多功能教学综合楼和远航楼建设工程。</w:t>
      </w:r>
      <w:r>
        <w:rPr>
          <w:rFonts w:hint="eastAsia" w:ascii="仿宋_GB2312" w:eastAsia="仿宋_GB2312" w:cs="仿宋_GB2312"/>
          <w:sz w:val="32"/>
          <w:szCs w:val="32"/>
        </w:rPr>
        <w:t xml:space="preserve">   </w:t>
      </w:r>
    </w:p>
    <w:p w14:paraId="7F08840C">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 xml:space="preserve">（二）项目年度预算绩效目标和绩效指标设定情况  </w:t>
      </w:r>
    </w:p>
    <w:p w14:paraId="01106A2D">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总体目标：省级改善普通高中办学条件补助</w:t>
      </w:r>
    </w:p>
    <w:p w14:paraId="1CC82D43">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2025年年度目标是省级改善普通高中办学条件补助</w:t>
      </w:r>
    </w:p>
    <w:p w14:paraId="05B242E3">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当年年度目标完成情况：省级改善普通高中办学条件补助基本完成</w:t>
      </w:r>
    </w:p>
    <w:p w14:paraId="74885E1C">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黑体" w:hAnsi="宋体" w:eastAsia="黑体" w:cs="黑体"/>
          <w:sz w:val="32"/>
          <w:szCs w:val="32"/>
        </w:rPr>
        <w:t>二、项目决策及资金使用管理情况</w:t>
      </w:r>
    </w:p>
    <w:p w14:paraId="66CE88B1">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（一）项目决策情况（包括决策过程和结果）</w:t>
      </w:r>
    </w:p>
    <w:p w14:paraId="0974D529">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_GB2312" w:eastAsia="仿宋_GB2312" w:cs="仿宋_GB2312"/>
          <w:sz w:val="32"/>
          <w:szCs w:val="32"/>
        </w:rPr>
        <w:t> </w:t>
      </w:r>
      <w:r>
        <w:rPr>
          <w:rFonts w:hint="eastAsia" w:ascii="仿宋" w:hAnsi="仿宋" w:eastAsia="仿宋" w:cs="仿宋"/>
          <w:color w:val="auto"/>
          <w:kern w:val="0"/>
          <w:sz w:val="32"/>
          <w:szCs w:val="32"/>
          <w:highlight w:val="none"/>
        </w:rPr>
        <w:t>学校</w:t>
      </w:r>
      <w:r>
        <w:rPr>
          <w:rFonts w:hint="eastAsia" w:ascii="仿宋" w:hAnsi="仿宋" w:eastAsia="仿宋" w:cs="仿宋"/>
          <w:color w:val="auto"/>
          <w:kern w:val="0"/>
          <w:sz w:val="32"/>
          <w:szCs w:val="32"/>
          <w:highlight w:val="none"/>
          <w:lang w:val="en-US" w:eastAsia="zh-CN"/>
        </w:rPr>
        <w:t>依据</w:t>
      </w:r>
      <w:r>
        <w:rPr>
          <w:rFonts w:hint="eastAsia" w:ascii="仿宋" w:hAnsi="仿宋" w:eastAsia="仿宋" w:cs="仿宋"/>
          <w:color w:val="auto"/>
          <w:kern w:val="0"/>
          <w:sz w:val="32"/>
          <w:szCs w:val="32"/>
          <w:highlight w:val="none"/>
        </w:rPr>
        <w:t>“三重一大”的制度安排，根据往年学校的开支情况，总务处提出年度预算初稿，经学校党委会充分讨论，发挥民主，群策群力，</w:t>
      </w:r>
      <w:r>
        <w:rPr>
          <w:rFonts w:hint="eastAsia" w:ascii="仿宋" w:hAnsi="仿宋" w:eastAsia="仿宋" w:cs="仿宋"/>
          <w:color w:val="auto"/>
          <w:kern w:val="0"/>
          <w:sz w:val="32"/>
          <w:szCs w:val="32"/>
          <w:highlight w:val="none"/>
          <w:lang w:val="en-US" w:eastAsia="zh-CN"/>
        </w:rPr>
        <w:t>主要用于海南华侨中学多功能教学综合楼和远航楼建设工程。</w:t>
      </w:r>
      <w:r>
        <w:rPr>
          <w:rFonts w:hint="eastAsia" w:ascii="仿宋" w:hAnsi="仿宋" w:eastAsia="仿宋" w:cs="仿宋"/>
          <w:color w:val="auto"/>
          <w:kern w:val="0"/>
          <w:sz w:val="32"/>
          <w:szCs w:val="32"/>
          <w:highlight w:val="none"/>
        </w:rPr>
        <w:t xml:space="preserve">  </w:t>
      </w:r>
    </w:p>
    <w:p w14:paraId="70AEACBF">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（二）项目资金（包括财政资金、自筹资金等）安排落实、总投入等情况</w:t>
      </w:r>
    </w:p>
    <w:p w14:paraId="7252A7D9">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预算情况如下：</w:t>
      </w:r>
    </w:p>
    <w:p w14:paraId="51413116">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资金总额-年初预算数29606184.41</w:t>
      </w:r>
      <w:r>
        <w:rPr>
          <w:rFonts w:hint="eastAsia" w:ascii="仿宋_GB2312" w:eastAsia="仿宋_GB2312" w:cs="仿宋_GB2312"/>
          <w:sz w:val="32"/>
          <w:szCs w:val="32"/>
        </w:rPr>
        <w:t>元，</w:t>
      </w:r>
      <w:r>
        <w:rPr>
          <w:rFonts w:hint="eastAsia" w:ascii="楷体_GB2312" w:eastAsia="楷体_GB2312" w:cs="楷体_GB2312"/>
          <w:sz w:val="32"/>
          <w:szCs w:val="32"/>
        </w:rPr>
        <w:t>资金总额-全年预算数</w:t>
      </w:r>
      <w:r>
        <w:rPr>
          <w:sz w:val="32"/>
          <w:szCs w:val="32"/>
        </w:rPr>
        <w:t>16816184.41</w:t>
      </w:r>
      <w:r>
        <w:rPr>
          <w:rFonts w:hint="eastAsia" w:ascii="仿宋_GB2312" w:eastAsia="仿宋_GB2312" w:cs="仿宋_GB2312"/>
          <w:sz w:val="32"/>
          <w:szCs w:val="32"/>
        </w:rPr>
        <w:t>元，</w:t>
      </w:r>
    </w:p>
    <w:p w14:paraId="4B3D1253">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财政资金-年初预算数</w:t>
      </w:r>
      <w:r>
        <w:rPr>
          <w:sz w:val="32"/>
          <w:szCs w:val="32"/>
        </w:rPr>
        <w:t>29606184.41</w:t>
      </w:r>
      <w:r>
        <w:rPr>
          <w:rFonts w:hint="eastAsia" w:ascii="楷体_GB2312" w:eastAsia="楷体_GB2312" w:cs="楷体_GB2312"/>
          <w:sz w:val="32"/>
          <w:szCs w:val="32"/>
        </w:rPr>
        <w:t>元财政资金-全年预算数</w:t>
      </w:r>
      <w:r>
        <w:rPr>
          <w:sz w:val="32"/>
          <w:szCs w:val="32"/>
        </w:rPr>
        <w:t>16816184.41</w:t>
      </w:r>
      <w:r>
        <w:rPr>
          <w:rFonts w:hint="eastAsia" w:ascii="仿宋_GB2312" w:eastAsia="仿宋_GB2312" w:cs="仿宋_GB2312"/>
          <w:sz w:val="32"/>
          <w:szCs w:val="32"/>
        </w:rPr>
        <w:t>元，</w:t>
      </w:r>
    </w:p>
    <w:p w14:paraId="195F0741">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专户-年初预算数0</w:t>
      </w:r>
      <w:r>
        <w:rPr>
          <w:rFonts w:hint="eastAsia" w:ascii="仿宋_GB2312" w:eastAsia="仿宋_GB2312" w:cs="仿宋_GB2312"/>
          <w:sz w:val="32"/>
          <w:szCs w:val="32"/>
        </w:rPr>
        <w:t>元，</w:t>
      </w:r>
      <w:r>
        <w:rPr>
          <w:rFonts w:hint="eastAsia" w:ascii="楷体_GB2312" w:eastAsia="楷体_GB2312" w:cs="楷体_GB2312"/>
          <w:sz w:val="32"/>
          <w:szCs w:val="32"/>
        </w:rPr>
        <w:t>专户全年预算数0元，</w:t>
      </w:r>
    </w:p>
    <w:p w14:paraId="0E5E88DD">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单位年初预算数0元，单位全年预算数0</w:t>
      </w:r>
      <w:r>
        <w:rPr>
          <w:rFonts w:hint="eastAsia" w:ascii="仿宋_GB2312" w:eastAsia="仿宋_GB2312" w:cs="仿宋_GB2312"/>
          <w:sz w:val="32"/>
          <w:szCs w:val="32"/>
        </w:rPr>
        <w:t>元。</w:t>
      </w:r>
    </w:p>
    <w:p w14:paraId="66F1DB44">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（三）项目资金（主要是指财政资金）实际使用情况</w:t>
      </w:r>
    </w:p>
    <w:p w14:paraId="6426A51F">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资金执行情况如下：</w:t>
      </w:r>
    </w:p>
    <w:p w14:paraId="4AAC4052">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资金总额-全年执行数2509117.32元，资金总额-执行率</w:t>
      </w:r>
      <w:r>
        <w:rPr>
          <w:sz w:val="32"/>
          <w:szCs w:val="32"/>
        </w:rPr>
        <w:t>14.92%</w:t>
      </w:r>
      <w:r>
        <w:rPr>
          <w:rFonts w:hint="eastAsia" w:ascii="楷体_GB2312" w:eastAsia="楷体_GB2312" w:cs="楷体_GB2312"/>
          <w:sz w:val="32"/>
          <w:szCs w:val="32"/>
        </w:rPr>
        <w:t>元</w:t>
      </w:r>
    </w:p>
    <w:p w14:paraId="29AEF90A">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其中：</w:t>
      </w:r>
    </w:p>
    <w:p w14:paraId="265AC304">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财政资金-全年执行数2509117.32元，财政资金-执行率</w:t>
      </w:r>
      <w:r>
        <w:rPr>
          <w:sz w:val="32"/>
          <w:szCs w:val="32"/>
        </w:rPr>
        <w:t>14.92%</w:t>
      </w:r>
    </w:p>
    <w:p w14:paraId="236A398A">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专户全年执行数0元，专户-执行率</w:t>
      </w:r>
      <w:r>
        <w:rPr>
          <w:sz w:val="32"/>
          <w:szCs w:val="32"/>
        </w:rPr>
        <w:t>0</w:t>
      </w:r>
    </w:p>
    <w:p w14:paraId="10897131">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单位全年执行数0元，单位全年执行率</w:t>
      </w:r>
      <w:r>
        <w:rPr>
          <w:sz w:val="32"/>
          <w:szCs w:val="32"/>
        </w:rPr>
        <w:t>0.00%</w:t>
      </w:r>
    </w:p>
    <w:p w14:paraId="22616B0E">
      <w:pPr>
        <w:pStyle w:val="9"/>
        <w:keepNext w:val="0"/>
        <w:keepLines w:val="0"/>
        <w:pageBreakBefore w:val="0"/>
        <w:widowControl/>
        <w:numPr>
          <w:ilvl w:val="0"/>
          <w:numId w:val="1"/>
        </w:numPr>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hint="eastAsia" w:ascii="仿宋_GB2312" w:eastAsia="仿宋_GB2312" w:cs="仿宋_GB2312"/>
          <w:sz w:val="32"/>
          <w:szCs w:val="32"/>
        </w:rPr>
      </w:pPr>
      <w:r>
        <w:rPr>
          <w:rFonts w:hint="eastAsia" w:ascii="仿宋_GB2312" w:eastAsia="仿宋_GB2312" w:cs="仿宋_GB2312"/>
          <w:sz w:val="32"/>
          <w:szCs w:val="32"/>
        </w:rPr>
        <w:t>（四）项目资金管理情况</w:t>
      </w:r>
      <w:r>
        <w:rPr>
          <w:rFonts w:hint="eastAsia" w:ascii="仿宋_GB2312" w:eastAsia="仿宋_GB2312" w:cs="仿宋_GB2312"/>
          <w:sz w:val="32"/>
          <w:szCs w:val="32"/>
          <w:lang w:val="en-US" w:eastAsia="zh-CN"/>
        </w:rPr>
        <w:t xml:space="preserve"> </w:t>
      </w:r>
      <w:r>
        <w:rPr>
          <w:rFonts w:hint="eastAsia" w:ascii="仿宋_GB2312" w:eastAsia="仿宋_GB2312" w:cs="仿宋_GB2312"/>
          <w:sz w:val="32"/>
          <w:szCs w:val="32"/>
        </w:rPr>
        <w:t>（包括管理制度、办法的制订及执行情况）</w:t>
      </w:r>
    </w:p>
    <w:p w14:paraId="54BB35E9">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left="0" w:leftChars="0" w:right="0" w:rightChars="0" w:firstLine="640" w:firstLineChars="200"/>
        <w:jc w:val="both"/>
        <w:textAlignment w:val="auto"/>
        <w:rPr>
          <w:rFonts w:hint="eastAsia" w:ascii="仿宋_GB2312" w:eastAsia="仿宋_GB2312" w:cs="仿宋_GB2312"/>
          <w:color w:val="auto"/>
          <w:sz w:val="32"/>
          <w:szCs w:val="32"/>
          <w:lang w:val="en-US" w:eastAsia="zh-CN"/>
        </w:rPr>
      </w:pPr>
      <w:r>
        <w:rPr>
          <w:rFonts w:hint="eastAsia" w:ascii="仿宋_GB2312" w:eastAsia="仿宋_GB2312" w:cs="仿宋_GB2312"/>
          <w:color w:val="auto"/>
          <w:sz w:val="32"/>
          <w:szCs w:val="32"/>
          <w:lang w:val="en-US" w:eastAsia="zh-CN"/>
        </w:rPr>
        <w:t>为加强对项目的监督管理，确保工程资金专款专用，实时监督管理项目资金调度、使用情况并及时反馈相关信息，同时为项目建设管理单位提供便捷、有效的银行服务，进一步提高资金使用效率。经代管单位、银行、施工单位签订</w:t>
      </w:r>
      <w:bookmarkStart w:id="0" w:name="_GoBack"/>
      <w:bookmarkEnd w:id="0"/>
      <w:r>
        <w:rPr>
          <w:rFonts w:hint="eastAsia" w:ascii="仿宋_GB2312" w:eastAsia="仿宋_GB2312" w:cs="仿宋_GB2312"/>
          <w:color w:val="auto"/>
          <w:sz w:val="32"/>
          <w:szCs w:val="32"/>
          <w:lang w:val="en-US" w:eastAsia="zh-CN"/>
        </w:rPr>
        <w:t>《项目资金监管协议》，设立资金监管账户，有效的达到项目资金管控目标。</w:t>
      </w:r>
    </w:p>
    <w:p w14:paraId="52E1CFF5">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lang w:val="en-US" w:eastAsia="zh-CN"/>
        </w:rPr>
        <w:t>2025年</w:t>
      </w:r>
      <w:r>
        <w:rPr>
          <w:rFonts w:hint="eastAsia" w:ascii="仿宋_GB2312" w:eastAsia="仿宋_GB2312" w:cs="仿宋_GB2312"/>
          <w:sz w:val="32"/>
          <w:szCs w:val="32"/>
        </w:rPr>
        <w:t>资金总额年初预算数29606184.41</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资金总额全年预算数16816184.41</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财政资金年初预算数29606184.41</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财政资金全年预算数16816184.41</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专户资金年初预算数0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专户资金全年预算数0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单位资金年初预算数0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单位资金全年预算数0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 </w:t>
      </w:r>
    </w:p>
    <w:p w14:paraId="1D4B601A">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黑体" w:hAnsi="宋体" w:eastAsia="黑体" w:cs="黑体"/>
          <w:sz w:val="32"/>
          <w:szCs w:val="32"/>
        </w:rPr>
        <w:t>三、项目组织实施情况</w:t>
      </w:r>
    </w:p>
    <w:p w14:paraId="53C77BD4">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hint="eastAsia" w:ascii="仿宋_GB2312" w:eastAsia="仿宋_GB2312" w:cs="仿宋_GB2312"/>
          <w:color w:val="auto"/>
          <w:sz w:val="32"/>
          <w:szCs w:val="32"/>
        </w:rPr>
      </w:pPr>
      <w:r>
        <w:rPr>
          <w:rFonts w:hint="eastAsia" w:ascii="仿宋_GB2312" w:eastAsia="仿宋_GB2312" w:cs="仿宋_GB2312"/>
          <w:sz w:val="32"/>
          <w:szCs w:val="32"/>
        </w:rPr>
        <w:t>（一）项目组织情况</w:t>
      </w:r>
      <w:r>
        <w:rPr>
          <w:rFonts w:hint="eastAsia" w:ascii="仿宋_GB2312" w:eastAsia="仿宋_GB2312" w:cs="仿宋_GB2312"/>
          <w:color w:val="auto"/>
          <w:sz w:val="32"/>
          <w:szCs w:val="32"/>
        </w:rPr>
        <w:t>（包括项目招投标情况、调整情况、完成验收等）</w:t>
      </w:r>
    </w:p>
    <w:p w14:paraId="750EC68A">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hint="eastAsia" w:ascii="仿宋_GB2312" w:eastAsia="仿宋_GB2312" w:cs="仿宋_GB2312"/>
          <w:color w:val="auto"/>
          <w:sz w:val="32"/>
          <w:szCs w:val="32"/>
        </w:rPr>
      </w:pPr>
      <w:r>
        <w:rPr>
          <w:rFonts w:hint="eastAsia" w:ascii="仿宋_GB2312" w:eastAsia="仿宋_GB2312" w:cs="仿宋_GB2312"/>
          <w:color w:val="auto"/>
          <w:sz w:val="32"/>
          <w:szCs w:val="32"/>
        </w:rPr>
        <w:t>改善普通高中学校办学条件补助资金</w:t>
      </w:r>
      <w:r>
        <w:rPr>
          <w:rFonts w:hint="eastAsia" w:ascii="仿宋_GB2312" w:eastAsia="仿宋_GB2312" w:cs="仿宋_GB2312"/>
          <w:color w:val="auto"/>
          <w:sz w:val="32"/>
          <w:szCs w:val="32"/>
          <w:lang w:val="en-US" w:eastAsia="zh-CN"/>
        </w:rPr>
        <w:t>项目的招投标严格按照</w:t>
      </w:r>
      <w:r>
        <w:rPr>
          <w:rFonts w:hint="default" w:ascii="仿宋_GB2312" w:eastAsia="仿宋_GB2312" w:cs="仿宋_GB2312"/>
          <w:color w:val="auto"/>
          <w:sz w:val="32"/>
          <w:szCs w:val="32"/>
          <w:lang w:val="en-US" w:eastAsia="zh-CN"/>
        </w:rPr>
        <w:t>《中华人民共和国招标投标法实施条例》《必须招标的工程项目规定》《海南省工程建设项目招标事项核准办法》（琼发改规[2020]4 号），核准该项目的施工采用公开招标方式、招标组织形式均为委托招标、招标范围均为全部招标。勘察、设计、监理按照《海南省工程建设项目招标事项核准办法》（琼发改规[2020]4 号）第八条“政府投资项目依法不招标的，按照政府采购相关规定执行或由采购人按照相关预算支出管理规定和本单位内部控制采购规程组织实施”的规定</w:t>
      </w:r>
      <w:r>
        <w:rPr>
          <w:rFonts w:hint="eastAsia" w:ascii="仿宋_GB2312" w:eastAsia="仿宋_GB2312" w:cs="仿宋_GB2312"/>
          <w:color w:val="auto"/>
          <w:sz w:val="32"/>
          <w:szCs w:val="32"/>
          <w:lang w:val="en-US" w:eastAsia="zh-CN"/>
        </w:rPr>
        <w:t>开展</w:t>
      </w:r>
      <w:r>
        <w:rPr>
          <w:rFonts w:hint="default" w:ascii="仿宋_GB2312" w:eastAsia="仿宋_GB2312" w:cs="仿宋_GB2312"/>
          <w:color w:val="auto"/>
          <w:sz w:val="32"/>
          <w:szCs w:val="32"/>
          <w:lang w:val="en-US" w:eastAsia="zh-CN"/>
        </w:rPr>
        <w:t>。</w:t>
      </w:r>
    </w:p>
    <w:p w14:paraId="64108D49">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firstLine="640" w:firstLineChars="200"/>
        <w:jc w:val="both"/>
        <w:textAlignment w:val="auto"/>
        <w:rPr>
          <w:rFonts w:hint="eastAsia" w:eastAsia="仿宋_GB2312"/>
          <w:sz w:val="32"/>
          <w:szCs w:val="32"/>
          <w:lang w:val="en-US" w:eastAsia="zh-CN"/>
        </w:rPr>
      </w:pPr>
      <w:r>
        <w:rPr>
          <w:rFonts w:hint="eastAsia" w:ascii="仿宋_GB2312" w:eastAsia="仿宋_GB2312" w:cs="仿宋_GB2312"/>
          <w:sz w:val="32"/>
          <w:szCs w:val="32"/>
        </w:rPr>
        <w:t>（二）项目管理情况（包括项目管理制度建设、日常检查监督等情况）</w:t>
      </w:r>
    </w:p>
    <w:p w14:paraId="1DA2A863">
      <w:pPr>
        <w:pStyle w:val="9"/>
        <w:keepNext w:val="0"/>
        <w:keepLines w:val="0"/>
        <w:pageBreakBefore w:val="0"/>
        <w:widowControl/>
        <w:numPr>
          <w:ilvl w:val="0"/>
          <w:numId w:val="0"/>
        </w:numPr>
        <w:suppressLineNumbers w:val="0"/>
        <w:kinsoku/>
        <w:wordWrap/>
        <w:overflowPunct/>
        <w:topLinePunct w:val="0"/>
        <w:autoSpaceDN/>
        <w:bidi w:val="0"/>
        <w:adjustRightInd/>
        <w:snapToGrid/>
        <w:spacing w:beforeAutospacing="0" w:afterAutospacing="0" w:line="360" w:lineRule="auto"/>
        <w:ind w:left="0" w:right="0" w:rightChars="0" w:firstLine="640" w:firstLineChars="200"/>
        <w:jc w:val="both"/>
        <w:textAlignment w:val="auto"/>
        <w:rPr>
          <w:rFonts w:hint="eastAsia" w:ascii="仿宋_GB2312" w:eastAsia="仿宋_GB2312" w:cs="仿宋_GB2312"/>
          <w:color w:val="auto"/>
          <w:sz w:val="32"/>
          <w:szCs w:val="32"/>
        </w:rPr>
      </w:pPr>
      <w:r>
        <w:rPr>
          <w:rFonts w:hint="eastAsia" w:ascii="仿宋_GB2312" w:eastAsia="仿宋_GB2312" w:cs="仿宋_GB2312"/>
          <w:sz w:val="32"/>
          <w:szCs w:val="32"/>
        </w:rPr>
        <w:t> </w:t>
      </w:r>
      <w:r>
        <w:rPr>
          <w:rFonts w:hint="eastAsia" w:ascii="仿宋_GB2312" w:eastAsia="仿宋_GB2312" w:cs="仿宋_GB2312"/>
          <w:color w:val="auto"/>
          <w:sz w:val="32"/>
          <w:szCs w:val="32"/>
          <w:lang w:val="en-US" w:eastAsia="zh-CN"/>
        </w:rPr>
        <w:t>项目严格按照海口市龙华区建设工程质量安全监督站的监督要求，对标该站下发的《房屋建筑工程质量安全监督工作方案》开展工作，积极参与项目日常工地例会，按时参加各项分布、分项验收。</w:t>
      </w:r>
    </w:p>
    <w:p w14:paraId="18C3744C">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 </w:t>
      </w:r>
      <w:r>
        <w:rPr>
          <w:rFonts w:hint="eastAsia" w:ascii="黑体" w:hAnsi="宋体" w:eastAsia="黑体" w:cs="黑体"/>
          <w:sz w:val="32"/>
          <w:szCs w:val="32"/>
        </w:rPr>
        <w:t>四、项目绩效情况</w:t>
      </w:r>
    </w:p>
    <w:p w14:paraId="54A3F72A">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_GB2312" w:eastAsia="仿宋_GB2312" w:cs="仿宋_GB2312"/>
          <w:sz w:val="32"/>
          <w:szCs w:val="32"/>
        </w:rPr>
      </w:pPr>
      <w:r>
        <w:rPr>
          <w:rFonts w:hint="eastAsia" w:ascii="仿宋_GB2312" w:eastAsia="仿宋_GB2312" w:cs="仿宋_GB2312"/>
          <w:sz w:val="32"/>
          <w:szCs w:val="32"/>
        </w:rPr>
        <w:t>（一）项目绩效目标完成情况。</w:t>
      </w:r>
    </w:p>
    <w:p w14:paraId="1AB97F01">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rPr>
        <w:t>项目成本（预算）控制情况</w:t>
      </w:r>
    </w:p>
    <w:p w14:paraId="3E2D2007">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本项目预算资金</w:t>
      </w:r>
      <w:r>
        <w:rPr>
          <w:rFonts w:hint="eastAsia" w:ascii="仿宋" w:hAnsi="仿宋" w:eastAsia="仿宋" w:cs="仿宋"/>
          <w:color w:val="auto"/>
          <w:kern w:val="0"/>
          <w:sz w:val="32"/>
          <w:szCs w:val="32"/>
          <w:highlight w:val="none"/>
          <w:lang w:val="en-US" w:eastAsia="zh-CN"/>
        </w:rPr>
        <w:t>1681.62</w:t>
      </w:r>
      <w:r>
        <w:rPr>
          <w:rFonts w:hint="eastAsia" w:ascii="仿宋" w:hAnsi="仿宋" w:eastAsia="仿宋" w:cs="仿宋"/>
          <w:color w:val="auto"/>
          <w:kern w:val="0"/>
          <w:sz w:val="32"/>
          <w:szCs w:val="32"/>
          <w:highlight w:val="none"/>
        </w:rPr>
        <w:t>万元，于当年支出</w:t>
      </w:r>
      <w:r>
        <w:rPr>
          <w:rFonts w:hint="eastAsia" w:ascii="仿宋" w:hAnsi="仿宋" w:eastAsia="仿宋" w:cs="仿宋"/>
          <w:color w:val="auto"/>
          <w:kern w:val="0"/>
          <w:sz w:val="32"/>
          <w:szCs w:val="32"/>
          <w:highlight w:val="none"/>
          <w:lang w:val="en-US" w:eastAsia="zh-CN"/>
        </w:rPr>
        <w:t>250.91</w:t>
      </w:r>
      <w:r>
        <w:rPr>
          <w:rFonts w:hint="eastAsia" w:ascii="仿宋" w:hAnsi="仿宋" w:eastAsia="仿宋" w:cs="仿宋"/>
          <w:color w:val="auto"/>
          <w:kern w:val="0"/>
          <w:sz w:val="32"/>
          <w:szCs w:val="32"/>
          <w:highlight w:val="none"/>
        </w:rPr>
        <w:t>万元,完成率为</w:t>
      </w:r>
      <w:r>
        <w:rPr>
          <w:rFonts w:hint="eastAsia" w:ascii="仿宋" w:hAnsi="仿宋" w:eastAsia="仿宋" w:cs="仿宋"/>
          <w:color w:val="auto"/>
          <w:kern w:val="0"/>
          <w:sz w:val="32"/>
          <w:szCs w:val="32"/>
          <w:highlight w:val="none"/>
          <w:lang w:val="en-US" w:eastAsia="zh-CN"/>
        </w:rPr>
        <w:t>14.92</w:t>
      </w:r>
      <w:r>
        <w:rPr>
          <w:rFonts w:hint="eastAsia" w:ascii="仿宋" w:hAnsi="仿宋" w:eastAsia="仿宋" w:cs="仿宋"/>
          <w:color w:val="auto"/>
          <w:kern w:val="0"/>
          <w:sz w:val="32"/>
          <w:szCs w:val="32"/>
          <w:highlight w:val="none"/>
        </w:rPr>
        <w:t>%。项目实施过程中严格按照项目预算科目及有关规定安排资金支出。</w:t>
      </w:r>
    </w:p>
    <w:p w14:paraId="700D5E23">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项目成本（预算）节约情况</w:t>
      </w:r>
    </w:p>
    <w:p w14:paraId="072B4A30">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学校本着“量入为出、收支平衡，保证重点”的原则，加强资金管理，合理安排资金，</w:t>
      </w:r>
      <w:r>
        <w:rPr>
          <w:rFonts w:hint="eastAsia" w:ascii="仿宋" w:hAnsi="仿宋" w:eastAsia="仿宋" w:cs="仿宋"/>
          <w:color w:val="auto"/>
          <w:kern w:val="0"/>
          <w:sz w:val="32"/>
          <w:szCs w:val="32"/>
          <w:highlight w:val="none"/>
          <w:lang w:val="en-US" w:eastAsia="zh-CN"/>
        </w:rPr>
        <w:t>根据工程进度及时完成资金支付，保证资金利用率的最大化</w:t>
      </w:r>
      <w:r>
        <w:rPr>
          <w:rFonts w:hint="eastAsia" w:ascii="仿宋" w:hAnsi="仿宋" w:eastAsia="仿宋" w:cs="仿宋"/>
          <w:color w:val="auto"/>
          <w:kern w:val="0"/>
          <w:sz w:val="32"/>
          <w:szCs w:val="32"/>
          <w:highlight w:val="none"/>
        </w:rPr>
        <w:t>。</w:t>
      </w:r>
    </w:p>
    <w:p w14:paraId="2657A7ED">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项目的效益性分析</w:t>
      </w:r>
    </w:p>
    <w:p w14:paraId="0D4ECF3A">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rPr>
        <w:t>项目预期目标完成程度</w:t>
      </w:r>
    </w:p>
    <w:p w14:paraId="679D4B95">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960" w:firstLineChars="3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按时按质按量实现预期目标。</w:t>
      </w:r>
    </w:p>
    <w:p w14:paraId="0F5CF76D">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项目实施对经济和社会的影响</w:t>
      </w:r>
    </w:p>
    <w:p w14:paraId="237FD1DF">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960" w:firstLineChars="3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本项目的实施完成，</w:t>
      </w:r>
      <w:r>
        <w:rPr>
          <w:rFonts w:hint="eastAsia" w:ascii="仿宋" w:hAnsi="仿宋" w:eastAsia="仿宋" w:cs="仿宋"/>
          <w:color w:val="auto"/>
          <w:kern w:val="0"/>
          <w:sz w:val="32"/>
          <w:szCs w:val="32"/>
          <w:highlight w:val="none"/>
          <w:lang w:val="en-US" w:eastAsia="zh-CN"/>
        </w:rPr>
        <w:t>对工程的后续进度按时完成提供了保障，为学校教育教学提供安全保障。</w:t>
      </w:r>
    </w:p>
    <w:p w14:paraId="2AE7B383">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（二）项目绩效目标未完成情况及原因分析</w:t>
      </w:r>
    </w:p>
    <w:p w14:paraId="1F0E12F8">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left="0" w:leftChars="0" w:right="0" w:rightChars="0" w:firstLine="640" w:firstLineChars="200"/>
        <w:jc w:val="both"/>
        <w:textAlignment w:val="auto"/>
        <w:rPr>
          <w:sz w:val="32"/>
          <w:szCs w:val="32"/>
        </w:rPr>
      </w:pPr>
      <w:r>
        <w:rPr>
          <w:rFonts w:hint="eastAsia" w:ascii="仿宋_GB2312" w:eastAsia="仿宋_GB2312" w:cs="仿宋_GB2312"/>
          <w:sz w:val="32"/>
          <w:szCs w:val="32"/>
        </w:rPr>
        <w:t> </w:t>
      </w:r>
      <w:r>
        <w:rPr>
          <w:rFonts w:hint="eastAsia" w:ascii="仿宋_GB2312" w:eastAsia="仿宋_GB2312" w:cs="仿宋_GB2312"/>
          <w:color w:val="auto"/>
          <w:sz w:val="32"/>
          <w:szCs w:val="32"/>
          <w:lang w:val="en-US" w:eastAsia="zh-CN"/>
        </w:rPr>
        <w:t>本项目无存在绩效目标未完成情况。</w:t>
      </w:r>
    </w:p>
    <w:p w14:paraId="7D6FF998">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黑体" w:hAnsi="宋体" w:eastAsia="黑体" w:cs="黑体"/>
          <w:sz w:val="32"/>
          <w:szCs w:val="32"/>
        </w:rPr>
        <w:t>五、其他需要说明的问题</w:t>
      </w:r>
    </w:p>
    <w:p w14:paraId="5EEABC31">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jc w:val="both"/>
        <w:textAlignment w:val="auto"/>
        <w:rPr>
          <w:rFonts w:hint="eastAsia" w:ascii="仿宋_GB2312" w:eastAsia="仿宋_GB2312" w:cs="仿宋_GB2312"/>
          <w:color w:val="auto"/>
          <w:sz w:val="32"/>
          <w:szCs w:val="32"/>
        </w:rPr>
      </w:pPr>
      <w:r>
        <w:rPr>
          <w:rFonts w:hint="eastAsia" w:ascii="仿宋_GB2312" w:eastAsia="仿宋_GB2312" w:cs="仿宋_GB2312"/>
          <w:color w:val="auto"/>
          <w:sz w:val="32"/>
          <w:szCs w:val="32"/>
        </w:rPr>
        <w:t>（一）后续工作计划</w:t>
      </w:r>
    </w:p>
    <w:p w14:paraId="7267E819">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hint="eastAsia" w:ascii="仿宋_GB2312" w:eastAsia="仿宋_GB2312" w:cs="仿宋_GB2312"/>
          <w:color w:val="auto"/>
          <w:sz w:val="32"/>
          <w:szCs w:val="32"/>
        </w:rPr>
      </w:pPr>
      <w:r>
        <w:rPr>
          <w:rFonts w:hint="eastAsia" w:ascii="仿宋_GB2312" w:eastAsia="仿宋_GB2312" w:cs="仿宋_GB2312"/>
          <w:color w:val="auto"/>
          <w:sz w:val="32"/>
          <w:szCs w:val="32"/>
          <w:lang w:val="en-US" w:eastAsia="zh-CN"/>
        </w:rPr>
        <w:t>根据签订的施工合同约定，按时、按质、按量完工并投入使用。</w:t>
      </w:r>
    </w:p>
    <w:p w14:paraId="6111CCA4">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jc w:val="both"/>
        <w:textAlignment w:val="auto"/>
        <w:rPr>
          <w:color w:val="auto"/>
          <w:sz w:val="32"/>
          <w:szCs w:val="32"/>
        </w:rPr>
      </w:pPr>
      <w:r>
        <w:rPr>
          <w:rFonts w:hint="eastAsia" w:ascii="仿宋_GB2312" w:eastAsia="仿宋_GB2312" w:cs="仿宋_GB2312"/>
          <w:color w:val="auto"/>
          <w:sz w:val="32"/>
          <w:szCs w:val="32"/>
        </w:rPr>
        <w:t>（二）主要经验及做法、存在问题和建议</w:t>
      </w:r>
    </w:p>
    <w:p w14:paraId="258CF14E">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color w:val="auto"/>
          <w:sz w:val="32"/>
          <w:szCs w:val="32"/>
          <w:lang w:val="en-US" w:eastAsia="zh-CN"/>
        </w:rPr>
        <w:t xml:space="preserve"> 按图施工，加强现场安全文明施工管理，日常监督相关人员到场履职；项目的整体投资管控严格按签订的施工合同履行，按形象进度节点拨付项目资金。</w:t>
      </w:r>
      <w:r>
        <w:rPr>
          <w:rFonts w:hint="eastAsia" w:ascii="仿宋_GB2312" w:eastAsia="仿宋_GB2312" w:cs="仿宋_GB2312"/>
          <w:sz w:val="32"/>
          <w:szCs w:val="32"/>
        </w:rPr>
        <w:t xml:space="preserve">  </w:t>
      </w:r>
    </w:p>
    <w:p w14:paraId="67F245C0">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  </w:t>
      </w:r>
    </w:p>
    <w:p w14:paraId="25990C41">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firstLine="640" w:firstLineChars="200"/>
        <w:jc w:val="both"/>
        <w:textAlignment w:val="auto"/>
        <w:rPr>
          <w:sz w:val="32"/>
          <w:szCs w:val="32"/>
        </w:rPr>
      </w:pPr>
    </w:p>
    <w:sectPr>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C114F9"/>
    <w:multiLevelType w:val="singleLevel"/>
    <w:tmpl w:val="B0C114F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C4462"/>
    <w:rsid w:val="0E0A5DCA"/>
    <w:rsid w:val="100B5E29"/>
    <w:rsid w:val="13877EBC"/>
    <w:rsid w:val="194B373A"/>
    <w:rsid w:val="194F6D87"/>
    <w:rsid w:val="19835498"/>
    <w:rsid w:val="1AD02149"/>
    <w:rsid w:val="1B12117D"/>
    <w:rsid w:val="1E733517"/>
    <w:rsid w:val="20765E78"/>
    <w:rsid w:val="281E2746"/>
    <w:rsid w:val="285C326E"/>
    <w:rsid w:val="29387837"/>
    <w:rsid w:val="296248B4"/>
    <w:rsid w:val="2F4862FA"/>
    <w:rsid w:val="355514F3"/>
    <w:rsid w:val="35E054DE"/>
    <w:rsid w:val="3A175247"/>
    <w:rsid w:val="3E726EF0"/>
    <w:rsid w:val="447F2A6D"/>
    <w:rsid w:val="463D4287"/>
    <w:rsid w:val="468E063F"/>
    <w:rsid w:val="49B77EAC"/>
    <w:rsid w:val="4C303F46"/>
    <w:rsid w:val="4F5E0E4A"/>
    <w:rsid w:val="531E0F9C"/>
    <w:rsid w:val="5A276988"/>
    <w:rsid w:val="5E826883"/>
    <w:rsid w:val="63C35974"/>
    <w:rsid w:val="64AA6B34"/>
    <w:rsid w:val="6B054AC4"/>
    <w:rsid w:val="6BEE3987"/>
    <w:rsid w:val="6C9A748E"/>
    <w:rsid w:val="6D1103B3"/>
    <w:rsid w:val="6EDA0016"/>
    <w:rsid w:val="717E737E"/>
    <w:rsid w:val="73243F55"/>
    <w:rsid w:val="78EC2E1F"/>
    <w:rsid w:val="79AB2CDA"/>
    <w:rsid w:val="79AE6327"/>
    <w:rsid w:val="7D7939E7"/>
    <w:rsid w:val="7F8F09A8"/>
    <w:rsid w:val="7FAE70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普通(网站) Char Char"/>
    <w:basedOn w:val="1"/>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1701</Words>
  <Characters>1854</Characters>
  <TotalTime>1</TotalTime>
  <ScaleCrop>false</ScaleCrop>
  <LinksUpToDate>false</LinksUpToDate>
  <CharactersWithSpaces>1879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2026-03-05T03:05:00Z</dcterms:created>
  <dc:creator>Administrator</dc:creator>
  <cp:lastModifiedBy>YY</cp:lastModifiedBy>
  <dcterms:modified xsi:type="dcterms:W3CDTF">2026-03-20T03:44:01Z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74107DD25B77447B9E5A6402A3F93987_13</vt:lpwstr>
  </property>
  <property fmtid="{D5CDD505-2E9C-101B-9397-08002B2CF9AE}" pid="4" name="KSOTemplateDocerSaveRecord">
    <vt:lpwstr>eyJoZGlkIjoiY2E0YjNlYWMxMWRjZGQ2YmZiZDM2MTFmYWRmYWFkODgiLCJ1c2VySWQiOiIzOTA0NTY1NzcifQ==</vt:lpwstr>
  </property>
</Properties>
</file>