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93CE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i w:val="0"/>
          <w:iCs w:val="0"/>
          <w:caps w:val="0"/>
          <w:color w:val="000000"/>
          <w:spacing w:val="0"/>
          <w:sz w:val="44"/>
          <w:szCs w:val="44"/>
        </w:rPr>
      </w:pPr>
      <w:r>
        <w:rPr>
          <w:rFonts w:hint="eastAsia" w:ascii="宋体" w:hAnsi="宋体" w:eastAsia="宋体" w:cs="宋体"/>
          <w:b/>
          <w:bCs/>
          <w:i w:val="0"/>
          <w:iCs w:val="0"/>
          <w:caps w:val="0"/>
          <w:color w:val="000000"/>
          <w:spacing w:val="0"/>
          <w:sz w:val="44"/>
          <w:szCs w:val="44"/>
        </w:rPr>
        <w:t>海口市项目支出绩效自评报告</w:t>
      </w:r>
    </w:p>
    <w:p w14:paraId="39DAF46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黑体" w:hAnsi="宋体" w:eastAsia="黑体" w:cs="黑体"/>
          <w:i w:val="0"/>
          <w:iCs w:val="0"/>
          <w:caps w:val="0"/>
          <w:color w:val="000000"/>
          <w:spacing w:val="0"/>
          <w:sz w:val="32"/>
          <w:szCs w:val="32"/>
        </w:rPr>
        <w:t> </w:t>
      </w:r>
    </w:p>
    <w:p w14:paraId="5664948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黑体" w:hAnsi="宋体" w:eastAsia="黑体" w:cs="黑体"/>
          <w:i w:val="0"/>
          <w:iCs w:val="0"/>
          <w:caps w:val="0"/>
          <w:color w:val="000000"/>
          <w:spacing w:val="0"/>
          <w:sz w:val="32"/>
          <w:szCs w:val="32"/>
        </w:rPr>
        <w:t>一、项目概况    </w:t>
      </w:r>
    </w:p>
    <w:p w14:paraId="50DAFC9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ascii="仿宋_GB2312" w:hAnsi="宋体" w:eastAsia="仿宋_GB2312" w:cs="仿宋_GB2312"/>
          <w:i w:val="0"/>
          <w:iCs w:val="0"/>
          <w:caps w:val="0"/>
          <w:color w:val="000000"/>
          <w:spacing w:val="0"/>
          <w:sz w:val="32"/>
          <w:szCs w:val="32"/>
        </w:rPr>
        <w:t>（一）项目基本情况：立项情况、实施主体项目、资金及主要内容</w:t>
      </w:r>
      <w:r>
        <w:rPr>
          <w:rFonts w:hint="eastAsia" w:ascii="宋体" w:hAnsi="宋体" w:eastAsia="宋体" w:cs="宋体"/>
          <w:i w:val="0"/>
          <w:iCs w:val="0"/>
          <w:caps w:val="0"/>
          <w:color w:val="000000"/>
          <w:spacing w:val="0"/>
          <w:sz w:val="32"/>
          <w:szCs w:val="32"/>
        </w:rPr>
        <w:t> </w:t>
      </w:r>
    </w:p>
    <w:p w14:paraId="6E56CAC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仿宋_GB2312" w:cs="宋体"/>
          <w:i w:val="0"/>
          <w:iCs w:val="0"/>
          <w:caps w:val="0"/>
          <w:color w:val="000000"/>
          <w:spacing w:val="0"/>
          <w:sz w:val="32"/>
          <w:szCs w:val="32"/>
          <w:lang w:eastAsia="zh-CN"/>
        </w:rPr>
      </w:pPr>
      <w:r>
        <w:rPr>
          <w:rFonts w:hint="eastAsia" w:ascii="仿宋_GB2312" w:hAnsi="宋体" w:eastAsia="仿宋_GB2312" w:cs="仿宋_GB2312"/>
          <w:i w:val="0"/>
          <w:iCs w:val="0"/>
          <w:caps w:val="0"/>
          <w:color w:val="000000"/>
          <w:spacing w:val="0"/>
          <w:sz w:val="32"/>
          <w:szCs w:val="32"/>
        </w:rPr>
        <w:t>预算单位海南华侨中学的项目后勤产业管理属于部门项目，主管部门为海口市教育局</w:t>
      </w:r>
      <w:r>
        <w:rPr>
          <w:rFonts w:hint="eastAsia" w:ascii="仿宋_GB2312" w:hAnsi="宋体" w:eastAsia="仿宋_GB2312" w:cs="仿宋_GB2312"/>
          <w:i w:val="0"/>
          <w:iCs w:val="0"/>
          <w:caps w:val="0"/>
          <w:color w:val="000000"/>
          <w:spacing w:val="0"/>
          <w:sz w:val="32"/>
          <w:szCs w:val="32"/>
          <w:lang w:eastAsia="zh-CN"/>
        </w:rPr>
        <w:t>。</w:t>
      </w:r>
    </w:p>
    <w:p w14:paraId="18D8A79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项目负责人为：吴泽纯</w:t>
      </w:r>
    </w:p>
    <w:p w14:paraId="5C0D0C7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联系电话：66702392</w:t>
      </w:r>
    </w:p>
    <w:p w14:paraId="29E14E3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项目概述如下：后勤产业管理为经常性项目,主要是根据学生学费和住宿费收费标准测算资金，项目主要用于日常办公、物业管理、维修维护等方面。</w:t>
      </w:r>
    </w:p>
    <w:p w14:paraId="648B4F3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（二）项目年度预算绩效目标和绩效指标设定情况</w:t>
      </w:r>
      <w:r>
        <w:rPr>
          <w:rFonts w:hint="eastAsia" w:ascii="宋体" w:hAnsi="宋体" w:eastAsia="宋体" w:cs="宋体"/>
          <w:i w:val="0"/>
          <w:iCs w:val="0"/>
          <w:caps w:val="0"/>
          <w:color w:val="000000"/>
          <w:spacing w:val="0"/>
          <w:sz w:val="32"/>
          <w:szCs w:val="32"/>
        </w:rPr>
        <w:t> </w:t>
      </w:r>
    </w:p>
    <w:p w14:paraId="5CCC710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总体目标：根据学费住宿费收入情况，为保障学校正常运转，提高学校办学品质，提高教师专业素养。</w:t>
      </w:r>
    </w:p>
    <w:p w14:paraId="0D4ABE8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2025年年度目标是：根据学费住宿费收入情况，为保障学校正常运转，提高学校办学品质，提高教师专业素养。</w:t>
      </w:r>
    </w:p>
    <w:p w14:paraId="7292848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当年年度目标完成情况：基本完成学费住宿费收入情况，为保障学校正常运转，提高学校办学品质，提高教师专业素养</w:t>
      </w:r>
    </w:p>
    <w:p w14:paraId="29046FE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黑体" w:hAnsi="宋体" w:eastAsia="黑体" w:cs="黑体"/>
          <w:i w:val="0"/>
          <w:iCs w:val="0"/>
          <w:caps w:val="0"/>
          <w:color w:val="000000"/>
          <w:spacing w:val="0"/>
          <w:sz w:val="32"/>
          <w:szCs w:val="32"/>
        </w:rPr>
        <w:t>二、项目决策及资金使用管理情况</w:t>
      </w:r>
    </w:p>
    <w:p w14:paraId="68A6A12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（一）项目决策情况（包括决策过程和结果）</w:t>
      </w:r>
    </w:p>
    <w:p w14:paraId="26380C9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ascii="微软雅黑" w:hAnsi="微软雅黑" w:eastAsia="微软雅黑" w:cs="微软雅黑"/>
          <w:i w:val="0"/>
          <w:iCs w:val="0"/>
          <w:caps w:val="0"/>
          <w:color w:val="000000"/>
          <w:spacing w:val="0"/>
          <w:sz w:val="32"/>
          <w:szCs w:val="32"/>
        </w:rPr>
      </w:pPr>
      <w:r>
        <w:rPr>
          <w:rFonts w:ascii="仿宋" w:hAnsi="仿宋" w:eastAsia="仿宋" w:cs="仿宋"/>
          <w:i w:val="0"/>
          <w:iCs w:val="0"/>
          <w:caps w:val="0"/>
          <w:color w:val="000000"/>
          <w:spacing w:val="0"/>
          <w:sz w:val="32"/>
          <w:szCs w:val="32"/>
        </w:rPr>
        <w:t>学校依</w:t>
      </w:r>
      <w:r>
        <w:rPr>
          <w:rFonts w:hint="eastAsia" w:ascii="仿宋" w:hAnsi="仿宋" w:eastAsia="仿宋" w:cs="仿宋"/>
          <w:i w:val="0"/>
          <w:iCs w:val="0"/>
          <w:caps w:val="0"/>
          <w:color w:val="000000"/>
          <w:spacing w:val="0"/>
          <w:sz w:val="32"/>
          <w:szCs w:val="32"/>
        </w:rPr>
        <w:t>“三重一大”的制度安排，根据往年学校的开支情况，总务处提出年度预算初稿，经学校党委会充分讨论，发挥民主，群策群力，集体决定后勤产业管理项目预算数为1550万元。资金来源主要为学费、住宿费，主要开支为水电、物业和维修维护。</w:t>
      </w:r>
      <w:r>
        <w:rPr>
          <w:rFonts w:hint="eastAsia" w:ascii="宋体" w:hAnsi="宋体" w:eastAsia="宋体" w:cs="宋体"/>
          <w:i w:val="0"/>
          <w:iCs w:val="0"/>
          <w:caps w:val="0"/>
          <w:color w:val="000000"/>
          <w:spacing w:val="0"/>
          <w:sz w:val="32"/>
          <w:szCs w:val="32"/>
        </w:rPr>
        <w:t>  </w:t>
      </w:r>
    </w:p>
    <w:p w14:paraId="2EAE72C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（二）项目资金（包括财政资金、自筹资金等）安排落实、总投入等情况</w:t>
      </w:r>
    </w:p>
    <w:p w14:paraId="03566D3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预算情况如下：</w:t>
      </w:r>
    </w:p>
    <w:p w14:paraId="05DC2ED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ascii="楷体_GB2312" w:hAnsi="宋体" w:eastAsia="楷体_GB2312" w:cs="楷体_GB2312"/>
          <w:i w:val="0"/>
          <w:iCs w:val="0"/>
          <w:caps w:val="0"/>
          <w:color w:val="000000"/>
          <w:spacing w:val="0"/>
          <w:sz w:val="32"/>
          <w:szCs w:val="32"/>
        </w:rPr>
        <w:t>资金总额</w:t>
      </w:r>
      <w:r>
        <w:rPr>
          <w:rFonts w:hint="eastAsia" w:ascii="楷体_GB2312" w:hAnsi="宋体" w:eastAsia="楷体_GB2312" w:cs="楷体_GB2312"/>
          <w:i w:val="0"/>
          <w:iCs w:val="0"/>
          <w:caps w:val="0"/>
          <w:color w:val="000000"/>
          <w:spacing w:val="0"/>
          <w:sz w:val="32"/>
          <w:szCs w:val="32"/>
        </w:rPr>
        <w:t>-年初预算数15500000</w:t>
      </w:r>
      <w:r>
        <w:rPr>
          <w:rFonts w:hint="eastAsia" w:ascii="仿宋_GB2312" w:hAnsi="宋体" w:eastAsia="仿宋_GB2312" w:cs="仿宋_GB2312"/>
          <w:i w:val="0"/>
          <w:iCs w:val="0"/>
          <w:caps w:val="0"/>
          <w:color w:val="000000"/>
          <w:spacing w:val="0"/>
          <w:sz w:val="32"/>
          <w:szCs w:val="32"/>
        </w:rPr>
        <w:t>元，</w:t>
      </w:r>
      <w:r>
        <w:rPr>
          <w:rFonts w:hint="eastAsia" w:ascii="楷体_GB2312" w:hAnsi="宋体" w:eastAsia="楷体_GB2312" w:cs="楷体_GB2312"/>
          <w:i w:val="0"/>
          <w:iCs w:val="0"/>
          <w:caps w:val="0"/>
          <w:color w:val="000000"/>
          <w:spacing w:val="0"/>
          <w:sz w:val="32"/>
          <w:szCs w:val="32"/>
        </w:rPr>
        <w:t>资金总额-全年预算数</w:t>
      </w:r>
      <w:r>
        <w:rPr>
          <w:rFonts w:hint="eastAsia" w:ascii="宋体" w:hAnsi="宋体" w:eastAsia="宋体" w:cs="宋体"/>
          <w:i w:val="0"/>
          <w:iCs w:val="0"/>
          <w:caps w:val="0"/>
          <w:color w:val="000000"/>
          <w:spacing w:val="0"/>
          <w:sz w:val="32"/>
          <w:szCs w:val="32"/>
        </w:rPr>
        <w:t>15500000</w:t>
      </w:r>
      <w:r>
        <w:rPr>
          <w:rFonts w:hint="eastAsia" w:ascii="仿宋_GB2312" w:hAnsi="宋体" w:eastAsia="仿宋_GB2312" w:cs="仿宋_GB2312"/>
          <w:i w:val="0"/>
          <w:iCs w:val="0"/>
          <w:caps w:val="0"/>
          <w:color w:val="000000"/>
          <w:spacing w:val="0"/>
          <w:sz w:val="32"/>
          <w:szCs w:val="32"/>
        </w:rPr>
        <w:t>元，</w:t>
      </w:r>
    </w:p>
    <w:p w14:paraId="256E7A7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财政资金-年初预算数</w:t>
      </w:r>
      <w:r>
        <w:rPr>
          <w:rFonts w:hint="eastAsia" w:ascii="宋体" w:hAnsi="宋体" w:eastAsia="宋体" w:cs="宋体"/>
          <w:i w:val="0"/>
          <w:iCs w:val="0"/>
          <w:caps w:val="0"/>
          <w:color w:val="000000"/>
          <w:spacing w:val="0"/>
          <w:sz w:val="32"/>
          <w:szCs w:val="32"/>
        </w:rPr>
        <w:t>0</w:t>
      </w:r>
      <w:r>
        <w:rPr>
          <w:rFonts w:hint="eastAsia" w:ascii="楷体_GB2312" w:hAnsi="宋体" w:eastAsia="楷体_GB2312" w:cs="楷体_GB2312"/>
          <w:i w:val="0"/>
          <w:iCs w:val="0"/>
          <w:caps w:val="0"/>
          <w:color w:val="000000"/>
          <w:spacing w:val="0"/>
          <w:sz w:val="32"/>
          <w:szCs w:val="32"/>
        </w:rPr>
        <w:t>元财政资金-全年预算数</w:t>
      </w:r>
      <w:r>
        <w:rPr>
          <w:rFonts w:hint="eastAsia" w:ascii="宋体" w:hAnsi="宋体" w:eastAsia="宋体" w:cs="宋体"/>
          <w:i w:val="0"/>
          <w:iCs w:val="0"/>
          <w:caps w:val="0"/>
          <w:color w:val="000000"/>
          <w:spacing w:val="0"/>
          <w:sz w:val="32"/>
          <w:szCs w:val="32"/>
        </w:rPr>
        <w:t>0</w:t>
      </w:r>
      <w:r>
        <w:rPr>
          <w:rFonts w:hint="eastAsia" w:ascii="仿宋_GB2312" w:hAnsi="宋体" w:eastAsia="仿宋_GB2312" w:cs="仿宋_GB2312"/>
          <w:i w:val="0"/>
          <w:iCs w:val="0"/>
          <w:caps w:val="0"/>
          <w:color w:val="000000"/>
          <w:spacing w:val="0"/>
          <w:sz w:val="32"/>
          <w:szCs w:val="32"/>
        </w:rPr>
        <w:t>元，</w:t>
      </w:r>
    </w:p>
    <w:p w14:paraId="3F3D96D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专户-年初预算数15500000</w:t>
      </w:r>
      <w:r>
        <w:rPr>
          <w:rFonts w:hint="eastAsia" w:ascii="仿宋_GB2312" w:hAnsi="宋体" w:eastAsia="仿宋_GB2312" w:cs="仿宋_GB2312"/>
          <w:i w:val="0"/>
          <w:iCs w:val="0"/>
          <w:caps w:val="0"/>
          <w:color w:val="000000"/>
          <w:spacing w:val="0"/>
          <w:sz w:val="32"/>
          <w:szCs w:val="32"/>
        </w:rPr>
        <w:t>元，</w:t>
      </w:r>
      <w:r>
        <w:rPr>
          <w:rFonts w:hint="eastAsia" w:ascii="楷体_GB2312" w:hAnsi="宋体" w:eastAsia="楷体_GB2312" w:cs="楷体_GB2312"/>
          <w:i w:val="0"/>
          <w:iCs w:val="0"/>
          <w:caps w:val="0"/>
          <w:color w:val="000000"/>
          <w:spacing w:val="0"/>
          <w:sz w:val="32"/>
          <w:szCs w:val="32"/>
        </w:rPr>
        <w:t>专户全年预算数15500000元，</w:t>
      </w:r>
    </w:p>
    <w:p w14:paraId="591EEE0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单位年初预算数0元，单位全年预算数0</w:t>
      </w:r>
      <w:r>
        <w:rPr>
          <w:rFonts w:hint="eastAsia" w:ascii="仿宋_GB2312" w:hAnsi="宋体" w:eastAsia="仿宋_GB2312" w:cs="仿宋_GB2312"/>
          <w:i w:val="0"/>
          <w:iCs w:val="0"/>
          <w:caps w:val="0"/>
          <w:color w:val="000000"/>
          <w:spacing w:val="0"/>
          <w:sz w:val="32"/>
          <w:szCs w:val="32"/>
        </w:rPr>
        <w:t>元。</w:t>
      </w:r>
    </w:p>
    <w:p w14:paraId="5308EC3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（三）项目资金（主要是指财政资金）实际使用情况</w:t>
      </w:r>
    </w:p>
    <w:p w14:paraId="43113A7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资金执行情况如下：</w:t>
      </w:r>
    </w:p>
    <w:p w14:paraId="26C5F46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资金总额-全年执行数11802006.47元，资金总额-执行率</w:t>
      </w:r>
      <w:r>
        <w:rPr>
          <w:rFonts w:hint="eastAsia" w:ascii="宋体" w:hAnsi="宋体" w:eastAsia="宋体" w:cs="宋体"/>
          <w:i w:val="0"/>
          <w:iCs w:val="0"/>
          <w:caps w:val="0"/>
          <w:color w:val="000000"/>
          <w:spacing w:val="0"/>
          <w:sz w:val="32"/>
          <w:szCs w:val="32"/>
        </w:rPr>
        <w:t>76.14%</w:t>
      </w:r>
      <w:r>
        <w:rPr>
          <w:rFonts w:hint="eastAsia" w:ascii="楷体_GB2312" w:hAnsi="宋体" w:eastAsia="楷体_GB2312" w:cs="楷体_GB2312"/>
          <w:i w:val="0"/>
          <w:iCs w:val="0"/>
          <w:caps w:val="0"/>
          <w:color w:val="000000"/>
          <w:spacing w:val="0"/>
          <w:sz w:val="32"/>
          <w:szCs w:val="32"/>
        </w:rPr>
        <w:t>元。</w:t>
      </w:r>
    </w:p>
    <w:p w14:paraId="2A1DC9F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其中：</w:t>
      </w:r>
    </w:p>
    <w:p w14:paraId="1335A13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财政资金-全年执行数0元，财政资金-执行率</w:t>
      </w:r>
      <w:r>
        <w:rPr>
          <w:rFonts w:hint="eastAsia" w:ascii="宋体" w:hAnsi="宋体" w:eastAsia="宋体" w:cs="宋体"/>
          <w:i w:val="0"/>
          <w:iCs w:val="0"/>
          <w:caps w:val="0"/>
          <w:color w:val="000000"/>
          <w:spacing w:val="0"/>
          <w:sz w:val="32"/>
          <w:szCs w:val="32"/>
        </w:rPr>
        <w:t>0</w:t>
      </w:r>
    </w:p>
    <w:p w14:paraId="0064EB1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专户全年执行数11802006.47元，专户-执行率</w:t>
      </w:r>
      <w:r>
        <w:rPr>
          <w:rFonts w:hint="eastAsia" w:ascii="宋体" w:hAnsi="宋体" w:eastAsia="宋体" w:cs="宋体"/>
          <w:i w:val="0"/>
          <w:iCs w:val="0"/>
          <w:caps w:val="0"/>
          <w:color w:val="000000"/>
          <w:spacing w:val="0"/>
          <w:sz w:val="32"/>
          <w:szCs w:val="32"/>
        </w:rPr>
        <w:t>76.14%</w:t>
      </w:r>
    </w:p>
    <w:p w14:paraId="5EA4E09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楷体_GB2312" w:hAnsi="宋体" w:eastAsia="楷体_GB2312" w:cs="楷体_GB2312"/>
          <w:i w:val="0"/>
          <w:iCs w:val="0"/>
          <w:caps w:val="0"/>
          <w:color w:val="000000"/>
          <w:spacing w:val="0"/>
          <w:sz w:val="32"/>
          <w:szCs w:val="32"/>
        </w:rPr>
        <w:t>单位全年执行数0元，单位全年执行率</w:t>
      </w:r>
      <w:r>
        <w:rPr>
          <w:rFonts w:hint="eastAsia" w:ascii="宋体" w:hAnsi="宋体" w:eastAsia="宋体" w:cs="宋体"/>
          <w:i w:val="0"/>
          <w:iCs w:val="0"/>
          <w:caps w:val="0"/>
          <w:color w:val="000000"/>
          <w:spacing w:val="0"/>
          <w:sz w:val="32"/>
          <w:szCs w:val="32"/>
        </w:rPr>
        <w:t>0.00%</w:t>
      </w:r>
    </w:p>
    <w:p w14:paraId="56C460F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（四）项目资金管理情况（包括管理制度、办法的制订及执行情况）</w:t>
      </w:r>
    </w:p>
    <w:p w14:paraId="25A1856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（1）财务管理制度健全性：据了解，项目资金由海南华侨中学依据《海南华侨中学财务管理制度》对项目资金进行管理，项目资金管理办法符合相关财务会计制度的规定。</w:t>
      </w:r>
    </w:p>
    <w:p w14:paraId="217AA6C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2）资金使用合规性：项目资金按照《海南华侨中学财务管理制度》进行管理，通过查看项目支出明细账、项目支付凭证，项目资金进行了专账核算，资金的拨付执行了完整的审批程序，项目支出符合项目预算批复用途；未发现截留、挤占、挪用、虚列支出等情况。</w:t>
      </w:r>
    </w:p>
    <w:p w14:paraId="7724B6F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3）财务监控有效性：海南华侨中学按照《海南华侨中学财务管理制度》的要求，并根据项目合同约定，按合同约定时间拨付款项；项目款项由合作方提交申请并经海南华侨中学财务人员、单位领导审核后支付，保障了财务监控的有效性。</w:t>
      </w:r>
    </w:p>
    <w:p w14:paraId="257E8D2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 w:hAnsi="仿宋" w:eastAsia="仿宋" w:cs="仿宋"/>
          <w:i w:val="0"/>
          <w:iCs w:val="0"/>
          <w:caps w:val="0"/>
          <w:color w:val="000000"/>
          <w:spacing w:val="0"/>
          <w:sz w:val="32"/>
          <w:szCs w:val="32"/>
        </w:rPr>
        <w:t>2025年资金总额年初预算数15500000元，资金总额全年预算数:15500000元，财政资金年初预算数0元，财政资金全年预算数0元，专户资金年初预算数15500000元，专户资金全年预算数15500000元，单位资金年初预算数0元，单位资金全年预算数0元。</w:t>
      </w:r>
    </w:p>
    <w:p w14:paraId="786407B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黑体" w:hAnsi="宋体" w:eastAsia="黑体" w:cs="黑体"/>
          <w:i w:val="0"/>
          <w:iCs w:val="0"/>
          <w:caps w:val="0"/>
          <w:color w:val="000000"/>
          <w:spacing w:val="0"/>
          <w:sz w:val="32"/>
          <w:szCs w:val="32"/>
        </w:rPr>
        <w:t>三、项目组织实施情况</w:t>
      </w:r>
    </w:p>
    <w:p w14:paraId="7AB0A21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（一）项目组织情况 （包括项目招投标情况、调整情况、完成验收等）</w:t>
      </w:r>
    </w:p>
    <w:p w14:paraId="6A67106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宋体" w:hAnsi="宋体" w:eastAsia="宋体" w:cs="宋体"/>
          <w:i w:val="0"/>
          <w:iCs w:val="0"/>
          <w:caps w:val="0"/>
          <w:color w:val="000000"/>
          <w:spacing w:val="0"/>
          <w:sz w:val="32"/>
          <w:szCs w:val="32"/>
        </w:rPr>
        <w:t> </w:t>
      </w:r>
      <w:r>
        <w:rPr>
          <w:rFonts w:ascii="楷体" w:hAnsi="楷体" w:eastAsia="楷体" w:cs="楷体"/>
          <w:i w:val="0"/>
          <w:iCs w:val="0"/>
          <w:caps w:val="0"/>
          <w:color w:val="000000"/>
          <w:spacing w:val="0"/>
          <w:sz w:val="32"/>
          <w:szCs w:val="32"/>
        </w:rPr>
        <w:t>（一）项目组织情况</w:t>
      </w:r>
    </w:p>
    <w:p w14:paraId="41D2CD0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学校在总务处设立水电管理工作小组，负责学校水电的日常管理；设立基建维修小组，负责学校的基建维修维护；设立物业监督管理小组，负责管理第三方物业公司。一年来各小组严格按照规章制度，认真履职，巡查准时，应急处置及时，保障周全，学校的设施设备正常运转，安全保卫措施得当，师生生活和教育活动服务到位，促进学校稳步发展。</w:t>
      </w:r>
    </w:p>
    <w:p w14:paraId="2FFE9C3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楷体" w:hAnsi="楷体" w:eastAsia="楷体" w:cs="楷体"/>
          <w:i w:val="0"/>
          <w:iCs w:val="0"/>
          <w:caps w:val="0"/>
          <w:color w:val="000000"/>
          <w:spacing w:val="0"/>
          <w:sz w:val="32"/>
          <w:szCs w:val="32"/>
        </w:rPr>
        <w:t>（二）项目管理情况</w:t>
      </w:r>
    </w:p>
    <w:p w14:paraId="5A2C197A">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 w:hAnsi="仿宋" w:eastAsia="仿宋" w:cs="仿宋"/>
          <w:i w:val="0"/>
          <w:iCs w:val="0"/>
          <w:caps w:val="0"/>
          <w:color w:val="000000"/>
          <w:spacing w:val="0"/>
          <w:kern w:val="0"/>
          <w:sz w:val="32"/>
          <w:szCs w:val="32"/>
          <w:lang w:val="en-US" w:eastAsia="zh-CN" w:bidi="ar"/>
        </w:rPr>
        <w:t>1、落实“三大一重”政策，科学决策。</w:t>
      </w:r>
    </w:p>
    <w:p w14:paraId="1889FD31">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 w:hAnsi="仿宋" w:eastAsia="仿宋" w:cs="仿宋"/>
          <w:i w:val="0"/>
          <w:iCs w:val="0"/>
          <w:caps w:val="0"/>
          <w:color w:val="000000"/>
          <w:spacing w:val="0"/>
          <w:kern w:val="0"/>
          <w:sz w:val="32"/>
          <w:szCs w:val="32"/>
          <w:lang w:val="en-US" w:eastAsia="zh-CN" w:bidi="ar"/>
        </w:rPr>
        <w:t>我会同办公室一起制定了《海南华侨中学三大一重制度》，规定重要项目安排：学校基建、对外合作、大宗采购等都要通过校务会讨论通过，方由总务处实施。</w:t>
      </w:r>
    </w:p>
    <w:p w14:paraId="00355886">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 w:hAnsi="仿宋" w:eastAsia="仿宋" w:cs="仿宋"/>
          <w:i w:val="0"/>
          <w:iCs w:val="0"/>
          <w:caps w:val="0"/>
          <w:color w:val="000000"/>
          <w:spacing w:val="0"/>
          <w:kern w:val="0"/>
          <w:sz w:val="32"/>
          <w:szCs w:val="32"/>
          <w:lang w:val="en-US" w:eastAsia="zh-CN" w:bidi="ar"/>
        </w:rPr>
        <w:t>2、规范采购程序，做到物美价廉。我组织制定了《海南侨中学采购管理办法》，规范了采购过程：公开采购信息，大额采购向社会公开，依法招标，小额采购在校内开，直面供货商，减少中间环节。</w:t>
      </w:r>
    </w:p>
    <w:p w14:paraId="37FE2FBE">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 w:hAnsi="仿宋" w:eastAsia="仿宋" w:cs="仿宋"/>
          <w:i w:val="0"/>
          <w:iCs w:val="0"/>
          <w:caps w:val="0"/>
          <w:color w:val="000000"/>
          <w:spacing w:val="0"/>
          <w:kern w:val="0"/>
          <w:sz w:val="32"/>
          <w:szCs w:val="32"/>
          <w:lang w:val="en-US" w:eastAsia="zh-CN" w:bidi="ar"/>
        </w:rPr>
        <w:t>3、完善内控制度，规范校内监管。我组织制定了《海南华侨中学财务内控制度》、《海南华侨中学政府采购管理制度》、《海南华侨中学项目合同管理制度》、《海南华侨中学维修维护管理办法》、《海南华侨中学学生空调使用管理办法》等内控制度，很好的保证学校财产安全，保护师生权益，促进学校健康发展。</w:t>
      </w:r>
      <w:r>
        <w:rPr>
          <w:rFonts w:hint="eastAsia" w:ascii="宋体" w:hAnsi="宋体" w:eastAsia="宋体" w:cs="宋体"/>
          <w:i w:val="0"/>
          <w:iCs w:val="0"/>
          <w:caps w:val="0"/>
          <w:color w:val="000000"/>
          <w:spacing w:val="0"/>
          <w:kern w:val="0"/>
          <w:sz w:val="32"/>
          <w:szCs w:val="32"/>
          <w:lang w:val="en-US" w:eastAsia="zh-CN" w:bidi="ar"/>
        </w:rPr>
        <w:t> </w:t>
      </w:r>
    </w:p>
    <w:p w14:paraId="2DCDE47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黑体" w:hAnsi="宋体" w:eastAsia="黑体" w:cs="黑体"/>
          <w:i w:val="0"/>
          <w:iCs w:val="0"/>
          <w:caps w:val="0"/>
          <w:color w:val="000000"/>
          <w:spacing w:val="0"/>
          <w:sz w:val="32"/>
          <w:szCs w:val="32"/>
        </w:rPr>
        <w:t>四、项目绩效情况</w:t>
      </w:r>
    </w:p>
    <w:p w14:paraId="3555E91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_GB2312" w:hAnsi="微软雅黑" w:eastAsia="仿宋_GB2312" w:cs="仿宋_GB2312"/>
          <w:i w:val="0"/>
          <w:iCs w:val="0"/>
          <w:caps w:val="0"/>
          <w:color w:val="000000"/>
          <w:spacing w:val="0"/>
          <w:sz w:val="32"/>
          <w:szCs w:val="32"/>
        </w:rPr>
        <w:t>（一）项目绩效目标完成情况。</w:t>
      </w:r>
    </w:p>
    <w:p w14:paraId="1E20F39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1、项目成本（预算）控制情况</w:t>
      </w:r>
    </w:p>
    <w:p w14:paraId="210FAF3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本项目预算资金1550万元，于当年支出1180.20万元,完成率为76.14%。项目实施过程中严格按照项目预算科目及有关规定安排资金支出。</w:t>
      </w:r>
    </w:p>
    <w:p w14:paraId="0A4C974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2、项目成本（预算）节约情况</w:t>
      </w:r>
    </w:p>
    <w:p w14:paraId="3C6ED99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学校本着“量入为出、收支平衡，保证重点”的原则，加强资金管理，合理安排资金，编制好本年度的支出计划，提高资金使用效果，确保学校的各项工作任务顺利完成。</w:t>
      </w:r>
    </w:p>
    <w:p w14:paraId="4E019B8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3、项目的效率性分析</w:t>
      </w:r>
    </w:p>
    <w:p w14:paraId="79BA084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（1）项目的实施进度</w:t>
      </w:r>
    </w:p>
    <w:p w14:paraId="7C21F1A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按照学校制定的预算方案，严格项目管理，截止202</w:t>
      </w:r>
      <w:r>
        <w:rPr>
          <w:rFonts w:hint="eastAsia" w:ascii="仿宋" w:hAnsi="仿宋" w:eastAsia="仿宋" w:cs="仿宋"/>
          <w:i w:val="0"/>
          <w:iCs w:val="0"/>
          <w:caps w:val="0"/>
          <w:color w:val="000000"/>
          <w:spacing w:val="0"/>
          <w:sz w:val="32"/>
          <w:szCs w:val="32"/>
          <w:lang w:val="en-US" w:eastAsia="zh-CN"/>
        </w:rPr>
        <w:t>5</w:t>
      </w:r>
      <w:r>
        <w:rPr>
          <w:rFonts w:hint="eastAsia" w:ascii="仿宋" w:hAnsi="仿宋" w:eastAsia="仿宋" w:cs="仿宋"/>
          <w:i w:val="0"/>
          <w:iCs w:val="0"/>
          <w:caps w:val="0"/>
          <w:color w:val="000000"/>
          <w:spacing w:val="0"/>
          <w:sz w:val="32"/>
          <w:szCs w:val="32"/>
        </w:rPr>
        <w:t>年底项目经费已支付1180.20万元,完成率为76.14%。</w:t>
      </w:r>
    </w:p>
    <w:p w14:paraId="6B2B720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（2）项目完成质量</w:t>
      </w:r>
    </w:p>
    <w:p w14:paraId="2B07858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按照预算方案，我们合理配置资源，加强项目管理，严格管理机制，尽可能规避项目风险，强调项目质量管理，项目完成质量较好。</w:t>
      </w:r>
    </w:p>
    <w:p w14:paraId="2099376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4、项目的效益性分析</w:t>
      </w:r>
    </w:p>
    <w:p w14:paraId="5C5648A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（1）项目预期目标完成程度</w:t>
      </w:r>
    </w:p>
    <w:p w14:paraId="3406BCE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按时按质按量实现预期目标。</w:t>
      </w:r>
    </w:p>
    <w:p w14:paraId="32092AD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（2）项目实施对经济和社会的影响</w:t>
      </w:r>
    </w:p>
    <w:p w14:paraId="1AEE740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本项目的实施完成，在保运转方面得到了保障，为我校教育教学工作的开展提供了良好的条件，教学硬件软件都得到了极大提升，学校的教育教学成绩得到了社会各界的好评和肯定。</w:t>
      </w:r>
    </w:p>
    <w:p w14:paraId="7B63F5D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5、</w:t>
      </w:r>
      <w:bookmarkStart w:id="0" w:name="_GoBack"/>
      <w:bookmarkEnd w:id="0"/>
      <w:r>
        <w:rPr>
          <w:rFonts w:hint="eastAsia" w:ascii="仿宋" w:hAnsi="仿宋" w:eastAsia="仿宋" w:cs="仿宋"/>
          <w:i w:val="0"/>
          <w:iCs w:val="0"/>
          <w:caps w:val="0"/>
          <w:color w:val="000000"/>
          <w:spacing w:val="0"/>
          <w:sz w:val="32"/>
          <w:szCs w:val="32"/>
        </w:rPr>
        <w:t>项目的可持续性分析</w:t>
      </w:r>
    </w:p>
    <w:p w14:paraId="70B8AC5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上述项目的顺利实施，在学校教育教学各项工作中产生了良好的效益，为提升学校办学水平提供了良好的环境。项目的可持续性实施为学校适应新时代新形势新情况和新变化下的教育教学要求提供了坚强的保障。</w:t>
      </w:r>
    </w:p>
    <w:p w14:paraId="1F24C5A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仿宋_GB2312" w:hAnsi="宋体" w:eastAsia="仿宋_GB2312" w:cs="仿宋_GB2312"/>
          <w:i w:val="0"/>
          <w:iCs w:val="0"/>
          <w:caps w:val="0"/>
          <w:color w:val="000000"/>
          <w:spacing w:val="0"/>
          <w:sz w:val="32"/>
          <w:szCs w:val="32"/>
        </w:rPr>
        <w:t>（二）项目绩效目标未完成情况及原因分析</w:t>
      </w:r>
    </w:p>
    <w:p w14:paraId="1402A51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项目绩效目标完成情况较好。</w:t>
      </w:r>
      <w:r>
        <w:rPr>
          <w:rFonts w:hint="eastAsia" w:ascii="宋体" w:hAnsi="宋体" w:eastAsia="宋体" w:cs="宋体"/>
          <w:i w:val="0"/>
          <w:iCs w:val="0"/>
          <w:caps w:val="0"/>
          <w:color w:val="000000"/>
          <w:spacing w:val="0"/>
          <w:sz w:val="32"/>
          <w:szCs w:val="32"/>
        </w:rPr>
        <w:t> </w:t>
      </w:r>
    </w:p>
    <w:p w14:paraId="23F514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宋体" w:cs="宋体"/>
          <w:i w:val="0"/>
          <w:iCs w:val="0"/>
          <w:caps w:val="0"/>
          <w:color w:val="000000"/>
          <w:spacing w:val="0"/>
          <w:sz w:val="32"/>
          <w:szCs w:val="32"/>
        </w:rPr>
      </w:pPr>
      <w:r>
        <w:rPr>
          <w:rFonts w:hint="eastAsia" w:ascii="黑体" w:hAnsi="宋体" w:eastAsia="黑体" w:cs="黑体"/>
          <w:i w:val="0"/>
          <w:iCs w:val="0"/>
          <w:caps w:val="0"/>
          <w:color w:val="000000"/>
          <w:spacing w:val="0"/>
          <w:sz w:val="32"/>
          <w:szCs w:val="32"/>
        </w:rPr>
        <w:t>五、其他需要说明的问题</w:t>
      </w:r>
    </w:p>
    <w:p w14:paraId="10C7E55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楷体" w:hAnsi="楷体" w:eastAsia="楷体" w:cs="楷体"/>
          <w:i w:val="0"/>
          <w:iCs w:val="0"/>
          <w:caps w:val="0"/>
          <w:color w:val="000000"/>
          <w:spacing w:val="0"/>
          <w:sz w:val="32"/>
          <w:szCs w:val="32"/>
        </w:rPr>
        <w:t>（一）后续工作计划</w:t>
      </w:r>
    </w:p>
    <w:p w14:paraId="336901F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对后勤产业管理经费的支出情况进行分析，更加严格地按照财务管理要求提高项目支出效益。</w:t>
      </w:r>
    </w:p>
    <w:p w14:paraId="653BC5A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楷体" w:hAnsi="楷体" w:eastAsia="楷体" w:cs="楷体"/>
          <w:i w:val="0"/>
          <w:iCs w:val="0"/>
          <w:caps w:val="0"/>
          <w:color w:val="000000"/>
          <w:spacing w:val="0"/>
          <w:sz w:val="32"/>
          <w:szCs w:val="32"/>
        </w:rPr>
        <w:t>（二）主要经验及做法、存在问题和建议</w:t>
      </w:r>
    </w:p>
    <w:p w14:paraId="62F0F50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微软雅黑" w:hAnsi="微软雅黑" w:eastAsia="微软雅黑" w:cs="微软雅黑"/>
          <w:i w:val="0"/>
          <w:iCs w:val="0"/>
          <w:caps w:val="0"/>
          <w:color w:val="000000"/>
          <w:spacing w:val="0"/>
          <w:sz w:val="32"/>
          <w:szCs w:val="32"/>
        </w:rPr>
      </w:pPr>
      <w:r>
        <w:rPr>
          <w:rFonts w:hint="eastAsia" w:ascii="仿宋" w:hAnsi="仿宋" w:eastAsia="仿宋" w:cs="仿宋"/>
          <w:i w:val="0"/>
          <w:iCs w:val="0"/>
          <w:caps w:val="0"/>
          <w:color w:val="000000"/>
          <w:spacing w:val="0"/>
          <w:sz w:val="32"/>
          <w:szCs w:val="32"/>
        </w:rPr>
        <w:t>根据上级预算部门拨付后勤产业管理经费进行合理分类及合理支出，报账及支出严格按照财务管理进行。建议不断跟上财务管理要求，提高学校项目绩效管理水平。</w:t>
      </w:r>
    </w:p>
    <w:p w14:paraId="5E85390B">
      <w:pPr>
        <w:keepNext w:val="0"/>
        <w:keepLines w:val="0"/>
        <w:pageBreakBefore w:val="0"/>
        <w:kinsoku/>
        <w:wordWrap/>
        <w:overflowPunct/>
        <w:topLinePunct w:val="0"/>
        <w:autoSpaceDE/>
        <w:autoSpaceDN/>
        <w:bidi w:val="0"/>
        <w:adjustRightInd/>
        <w:snapToGrid/>
        <w:spacing w:afterAutospacing="0" w:line="240" w:lineRule="auto"/>
        <w:ind w:firstLine="640" w:firstLineChars="200"/>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C50ECC"/>
    <w:rsid w:val="27C50ECC"/>
    <w:rsid w:val="44B244EA"/>
    <w:rsid w:val="521934D1"/>
    <w:rsid w:val="59047560"/>
    <w:rsid w:val="59C64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2414</Words>
  <Characters>2549</Characters>
  <Lines>0</Lines>
  <Paragraphs>0</Paragraphs>
  <TotalTime>0</TotalTime>
  <ScaleCrop>false</ScaleCrop>
  <LinksUpToDate>false</LinksUpToDate>
  <CharactersWithSpaces>2562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2026-03-05T02:35:00Z</dcterms:created>
  <dc:creator>YY</dc:creator>
  <cp:lastModifiedBy>YY</cp:lastModifiedBy>
  <dcterms:modified xsi:type="dcterms:W3CDTF">2026-03-20T03:48:01Z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AE25E8652000457395369869EAC8DB55_11</vt:lpwstr>
  </property>
  <property fmtid="{D5CDD505-2E9C-101B-9397-08002B2CF9AE}" pid="4" name="KSOTemplateDocerSaveRecord">
    <vt:lpwstr>eyJoZGlkIjoiY2E0YjNlYWMxMWRjZGQ2YmZiZDM2MTFmYWRmYWFkODgiLCJ1c2VySWQiOiIzOTA0NTY1NzcifQ==</vt:lpwstr>
  </property>
</Properties>
</file>