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2EDF8BA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center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  <w:shd w:val="clear" w:fill="FFFFFF"/>
        </w:rPr>
        <w:t>海口市五源河学校综合事务项目支出绩效自评报告</w:t>
      </w:r>
    </w:p>
    <w:p w14:paraId="6A24E17F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bidi w:val="0"/>
        <w:spacing w:before="0" w:beforeAutospacing="0" w:after="0" w:afterAutospacing="0" w:line="360" w:lineRule="atLeast"/>
        <w:ind w:left="0" w:right="0"/>
        <w:jc w:val="left"/>
        <w:rPr>
          <w:rStyle w:val="12"/>
          <w:rFonts w:ascii="宋体" w:hAnsi="宋体" w:eastAsia="宋体" w:cs="宋体"/>
          <w:b w:val="0"/>
          <w:bCs w:val="0"/>
          <w:color w:val="000000"/>
          <w:kern w:val="0"/>
          <w:sz w:val="24"/>
          <w:szCs w:val="24"/>
          <w:shd w:val="clear" w:fill="FFFFFF"/>
          <w:lang w:val="en-US" w:eastAsia="zh-CN" w:bidi="ar"/>
        </w:rPr>
      </w:pPr>
    </w:p>
    <w:p w14:paraId="3E024AE8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bidi w:val="0"/>
        <w:spacing w:before="0" w:beforeAutospacing="0" w:after="0" w:afterAutospacing="0" w:line="360" w:lineRule="atLeast"/>
        <w:ind w:left="0" w:right="0"/>
        <w:jc w:val="left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30"/>
          <w:szCs w:val="30"/>
          <w:shd w:val="clear" w:fill="FFFFFF"/>
          <w:lang w:val="en-US" w:eastAsia="zh-CN" w:bidi="ar"/>
        </w:rPr>
      </w:pPr>
      <w:r>
        <w:rPr>
          <w:rStyle w:val="12"/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30"/>
          <w:szCs w:val="30"/>
          <w:shd w:val="clear" w:fill="FFFFFF"/>
          <w:lang w:val="en-US" w:eastAsia="zh-CN" w:bidi="ar"/>
        </w:rPr>
        <w:t>评价年度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30"/>
          <w:szCs w:val="30"/>
          <w:shd w:val="clear" w:fill="FFFFFF"/>
          <w:lang w:val="en-US" w:eastAsia="zh-CN" w:bidi="ar"/>
        </w:rPr>
        <w:t>：2025年</w:t>
      </w:r>
    </w:p>
    <w:p w14:paraId="2E9C9577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bidi w:val="0"/>
        <w:spacing w:before="0" w:beforeAutospacing="0" w:after="0" w:afterAutospacing="0" w:line="360" w:lineRule="atLeast"/>
        <w:ind w:left="0" w:right="0"/>
        <w:jc w:val="left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30"/>
          <w:szCs w:val="30"/>
          <w:shd w:val="clear" w:fill="FFFFFF"/>
          <w:lang w:val="en-US" w:eastAsia="zh-CN" w:bidi="ar"/>
        </w:rPr>
      </w:pPr>
      <w:r>
        <w:rPr>
          <w:rStyle w:val="12"/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30"/>
          <w:szCs w:val="30"/>
          <w:shd w:val="clear" w:fill="FFFFFF"/>
          <w:lang w:val="en-US" w:eastAsia="zh-CN" w:bidi="ar"/>
        </w:rPr>
        <w:t>预算单位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30"/>
          <w:szCs w:val="30"/>
          <w:shd w:val="clear" w:fill="FFFFFF"/>
          <w:lang w:val="en-US" w:eastAsia="zh-CN" w:bidi="ar"/>
        </w:rPr>
        <w:t>：海口市五源河学校</w:t>
      </w:r>
    </w:p>
    <w:p w14:paraId="78B7D901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bidi w:val="0"/>
        <w:spacing w:before="0" w:beforeAutospacing="0" w:after="0" w:afterAutospacing="0" w:line="360" w:lineRule="atLeast"/>
        <w:ind w:left="0" w:right="0"/>
        <w:jc w:val="left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30"/>
          <w:szCs w:val="30"/>
          <w:shd w:val="clear" w:fill="FFFFFF"/>
          <w:lang w:val="en-US" w:eastAsia="zh-CN" w:bidi="ar"/>
        </w:rPr>
      </w:pPr>
      <w:r>
        <w:rPr>
          <w:rStyle w:val="12"/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30"/>
          <w:szCs w:val="30"/>
          <w:shd w:val="clear" w:fill="FFFFFF"/>
          <w:lang w:val="en-US" w:eastAsia="zh-CN" w:bidi="ar"/>
        </w:rPr>
        <w:t>主管部门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30"/>
          <w:szCs w:val="30"/>
          <w:shd w:val="clear" w:fill="FFFFFF"/>
          <w:lang w:val="en-US" w:eastAsia="zh-CN" w:bidi="ar"/>
        </w:rPr>
        <w:t>：海口市教育局</w:t>
      </w:r>
    </w:p>
    <w:p w14:paraId="23DF3A80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bidi w:val="0"/>
        <w:spacing w:before="0" w:beforeAutospacing="0" w:after="0" w:afterAutospacing="0" w:line="360" w:lineRule="atLeast"/>
        <w:ind w:left="0" w:right="0"/>
        <w:jc w:val="left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30"/>
          <w:szCs w:val="30"/>
          <w:shd w:val="clear" w:fill="FFFFFF"/>
          <w:lang w:val="en-US" w:eastAsia="zh-CN" w:bidi="ar"/>
        </w:rPr>
      </w:pPr>
      <w:r>
        <w:rPr>
          <w:rStyle w:val="12"/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30"/>
          <w:szCs w:val="30"/>
          <w:shd w:val="clear" w:fill="FFFFFF"/>
          <w:lang w:val="en-US" w:eastAsia="zh-CN" w:bidi="ar"/>
        </w:rPr>
        <w:t>项目负责人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30"/>
          <w:szCs w:val="30"/>
          <w:shd w:val="clear" w:fill="FFFFFF"/>
          <w:lang w:val="en-US" w:eastAsia="zh-CN" w:bidi="ar"/>
        </w:rPr>
        <w:t>：伍人坛</w:t>
      </w:r>
    </w:p>
    <w:p w14:paraId="557DEF3F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bidi w:val="0"/>
        <w:spacing w:before="0" w:beforeAutospacing="0" w:after="0" w:afterAutospacing="0" w:line="360" w:lineRule="atLeast"/>
        <w:ind w:left="0" w:right="0"/>
        <w:jc w:val="left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30"/>
          <w:szCs w:val="30"/>
          <w:shd w:val="clear" w:fill="FFFFFF"/>
          <w:lang w:val="en-US" w:eastAsia="zh-CN" w:bidi="ar"/>
        </w:rPr>
      </w:pPr>
      <w:r>
        <w:rPr>
          <w:rStyle w:val="12"/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30"/>
          <w:szCs w:val="30"/>
          <w:shd w:val="clear" w:fill="FFFFFF"/>
          <w:lang w:val="en-US" w:eastAsia="zh-CN" w:bidi="ar"/>
        </w:rPr>
        <w:t>联系电话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30"/>
          <w:szCs w:val="30"/>
          <w:shd w:val="clear" w:fill="FFFFFF"/>
          <w:lang w:val="en-US" w:eastAsia="zh-CN" w:bidi="ar"/>
        </w:rPr>
        <w:t>：68706076</w:t>
      </w:r>
    </w:p>
    <w:p w14:paraId="187BE351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bidi w:val="0"/>
        <w:spacing w:before="0" w:beforeAutospacing="0" w:after="0" w:afterAutospacing="0" w:line="360" w:lineRule="atLeast"/>
        <w:ind w:left="0" w:right="0"/>
        <w:jc w:val="left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30"/>
          <w:szCs w:val="30"/>
          <w:shd w:val="clear" w:fill="FFFFFF"/>
          <w:lang w:val="en-US" w:eastAsia="zh-CN" w:bidi="ar"/>
        </w:rPr>
      </w:pPr>
      <w:r>
        <w:rPr>
          <w:rStyle w:val="12"/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30"/>
          <w:szCs w:val="30"/>
          <w:shd w:val="clear" w:fill="FFFFFF"/>
          <w:lang w:val="en-US" w:eastAsia="zh-CN" w:bidi="ar"/>
        </w:rPr>
        <w:t>填报人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30"/>
          <w:szCs w:val="30"/>
          <w:shd w:val="clear" w:fill="FFFFFF"/>
          <w:lang w:val="en-US" w:eastAsia="zh-CN" w:bidi="ar"/>
        </w:rPr>
        <w:t>：刘含云</w:t>
      </w:r>
    </w:p>
    <w:p w14:paraId="76C152AB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bidi w:val="0"/>
        <w:spacing w:before="0" w:beforeAutospacing="0" w:after="0" w:afterAutospacing="0" w:line="360" w:lineRule="atLeast"/>
        <w:ind w:left="0" w:right="0"/>
        <w:jc w:val="left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</w:rPr>
      </w:pPr>
      <w:r>
        <w:rPr>
          <w:rStyle w:val="12"/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30"/>
          <w:szCs w:val="30"/>
          <w:shd w:val="clear" w:fill="FFFFFF"/>
          <w:lang w:val="en-US" w:eastAsia="zh-CN" w:bidi="ar"/>
        </w:rPr>
        <w:t>项目类别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30"/>
          <w:szCs w:val="30"/>
          <w:shd w:val="clear" w:fill="FFFFFF"/>
          <w:lang w:val="en-US" w:eastAsia="zh-CN" w:bidi="ar"/>
        </w:rPr>
        <w:t>：其他运转类</w:t>
      </w:r>
    </w:p>
    <w:p w14:paraId="2C7EAD78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  <w:shd w:val="clear" w:fill="FFFFFF"/>
        </w:rPr>
        <w:t>一、项目概况</w:t>
      </w:r>
    </w:p>
    <w:p w14:paraId="6925A7D5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firstLine="600" w:firstLineChars="200"/>
        <w:jc w:val="left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  <w:shd w:val="clear" w:fill="FFFFFF"/>
        </w:rPr>
        <w:t>（一）项目基本情况</w:t>
      </w:r>
    </w:p>
    <w:p w14:paraId="5ED140E4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bidi w:val="0"/>
        <w:spacing w:before="0" w:beforeAutospacing="0" w:after="0" w:afterAutospacing="0" w:line="360" w:lineRule="atLeast"/>
        <w:ind w:left="0" w:right="0" w:firstLine="600" w:firstLineChars="200"/>
        <w:jc w:val="left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30"/>
          <w:szCs w:val="30"/>
          <w:shd w:val="clear" w:fill="FFFFFF"/>
          <w:lang w:val="en-US" w:eastAsia="zh-CN" w:bidi="ar"/>
        </w:rPr>
        <w:t>本项目为海口市五源河学校日常运转核心保障项目，归属其他运转类，核心用于保障学校日常经费支出、物业服务高效落地及校园各项日常工作有序开展，是维持学校办学运营基本秩序、夯实校园日常管理基础的重要支撑项目。项目实施主体为海口市五源河学校，资金来源以财政资金为主，辅以少量单位自有资金，无财政专户管理资金，各项经费专款专用，定向保障学校综合运营事务开展。</w:t>
      </w:r>
    </w:p>
    <w:p w14:paraId="68B7F0B6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firstLine="600" w:firstLineChars="200"/>
        <w:jc w:val="left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  <w:shd w:val="clear" w:fill="FFFFFF"/>
        </w:rPr>
        <w:t>（二）项目年度预算绩效目标和绩效指标设定情况</w:t>
      </w:r>
    </w:p>
    <w:p w14:paraId="5680BF0A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-360" w:leftChars="0" w:right="0" w:rightChars="0" w:firstLine="600" w:firstLineChars="200"/>
        <w:jc w:val="left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</w:rPr>
      </w:pPr>
      <w:r>
        <w:rPr>
          <w:rStyle w:val="12"/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  <w:shd w:val="clear" w:fill="FFFFFF"/>
        </w:rPr>
        <w:t>总体绩效目标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  <w:shd w:val="clear" w:fill="FFFFFF"/>
        </w:rPr>
        <w:t>：统筹保障学校物业服务及时、高效完成各项工作任务，足额落实校园日常运转所需经费，确保学校行政办公、教育教学配套、校园综合管理等日常工作有序开展，为学校整体办学运营提供稳定的运转保障。</w:t>
      </w:r>
    </w:p>
    <w:p w14:paraId="6B52E686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-360" w:leftChars="0" w:right="0" w:rightChars="0" w:firstLine="600" w:firstLineChars="200"/>
        <w:jc w:val="left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</w:rPr>
      </w:pPr>
      <w:r>
        <w:rPr>
          <w:rStyle w:val="12"/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  <w:shd w:val="clear" w:fill="FFFFFF"/>
        </w:rPr>
        <w:t>2025年度绩效目标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  <w:shd w:val="clear" w:fill="FFFFFF"/>
        </w:rPr>
        <w:t>：与总体目标高度一致，精准保障物业服务经费及校园日常运转经费需求，推动物业服务按标落地，及时完成校园零星维修等综合事务，实现学校日常工作零停滞、高效能开展，全面保障教育教学工作顺利推进。</w:t>
      </w:r>
    </w:p>
    <w:p w14:paraId="229FCA8A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-360" w:leftChars="0" w:right="0" w:rightChars="0" w:firstLine="600" w:firstLineChars="200"/>
        <w:jc w:val="left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</w:rPr>
      </w:pPr>
      <w:r>
        <w:rPr>
          <w:rStyle w:val="12"/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  <w:shd w:val="clear" w:fill="FFFFFF"/>
        </w:rPr>
        <w:t>绩效指标体系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  <w:shd w:val="clear" w:fill="FFFFFF"/>
        </w:rPr>
        <w:t>：围绕项目产出、效益、成本三大维度，设定量化与定性相结合的</w:t>
      </w:r>
      <w:r>
        <w:rPr>
          <w:rStyle w:val="12"/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  <w:shd w:val="clear" w:fill="FFFFFF"/>
        </w:rPr>
        <w:t>一级 - 二级 - 三级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  <w:shd w:val="clear" w:fill="FFFFFF"/>
        </w:rPr>
        <w:t>绩效指标体系，明确指标值、度量单位及评价标准，实现项目绩效的可衡量、可评价，具体核心指标如下：</w:t>
      </w:r>
    </w:p>
    <w:p w14:paraId="13AB698F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-360" w:leftChars="0" w:right="0" w:rightChars="0" w:firstLine="600" w:firstLineChars="200"/>
        <w:jc w:val="left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  <w:shd w:val="clear" w:fill="FFFFFF"/>
        </w:rPr>
        <w:t>产出指标：维持正常办公人员数≥450人，零星维修验收合格率=100%；</w:t>
      </w:r>
    </w:p>
    <w:p w14:paraId="4520A6F7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-360" w:leftChars="0" w:right="0" w:rightChars="0" w:firstLine="600" w:firstLineChars="200"/>
        <w:jc w:val="left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  <w:shd w:val="clear" w:fill="FFFFFF"/>
        </w:rPr>
        <w:t>效益指标：保障学校教育教学开展成效为“优”；</w:t>
      </w:r>
    </w:p>
    <w:p w14:paraId="1879EE72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-360" w:leftChars="0" w:right="0" w:rightChars="0" w:firstLine="600" w:firstLineChars="200"/>
        <w:jc w:val="left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  <w:shd w:val="clear" w:fill="FFFFFF"/>
        </w:rPr>
        <w:t>成本指标：设备采购、新增保管室价格控制≤30万元。</w:t>
      </w:r>
    </w:p>
    <w:p w14:paraId="42660D5D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-360" w:leftChars="0" w:right="0" w:rightChars="0" w:firstLine="600" w:firstLineChars="200"/>
        <w:jc w:val="left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</w:rPr>
      </w:pPr>
      <w:r>
        <w:rPr>
          <w:rStyle w:val="12"/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  <w:shd w:val="clear" w:fill="FFFFFF"/>
        </w:rPr>
        <w:t>2025年度目标完成情况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  <w:shd w:val="clear" w:fill="FFFFFF"/>
        </w:rPr>
        <w:t>：本项目2025年度各项绩效目标均 100%达成，物业服务高效落地，日常运转经费足额保障，校园综合事务顺利推进，全面实现年度预设目标，自评总分100分。</w:t>
      </w:r>
    </w:p>
    <w:p w14:paraId="5BB220DD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firstLine="300" w:firstLineChars="100"/>
        <w:jc w:val="left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  <w:shd w:val="clear" w:fill="FFFFFF"/>
        </w:rPr>
        <w:t>二、项目决策及资金使用管理情况</w:t>
      </w:r>
    </w:p>
    <w:p w14:paraId="0E914ADB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firstLine="300" w:firstLineChars="100"/>
        <w:jc w:val="left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  <w:shd w:val="clear" w:fill="FFFFFF"/>
        </w:rPr>
        <w:t>（一）项目决策情况</w:t>
      </w:r>
    </w:p>
    <w:p w14:paraId="51DD9AB6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bidi w:val="0"/>
        <w:spacing w:before="0" w:beforeAutospacing="0" w:after="0" w:afterAutospacing="0" w:line="360" w:lineRule="atLeast"/>
        <w:ind w:left="0" w:right="0" w:firstLine="600" w:firstLineChars="200"/>
        <w:jc w:val="left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30"/>
          <w:szCs w:val="30"/>
          <w:shd w:val="clear" w:fill="FFFFFF"/>
          <w:lang w:val="en-US" w:eastAsia="zh-CN" w:bidi="ar"/>
        </w:rPr>
        <w:t>本项目为学校日常运转保障性项目，决策过程严格遵循</w:t>
      </w:r>
      <w:r>
        <w:rPr>
          <w:rStyle w:val="12"/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30"/>
          <w:szCs w:val="30"/>
          <w:shd w:val="clear" w:fill="FFFFFF"/>
          <w:lang w:val="en-US" w:eastAsia="zh-CN" w:bidi="ar"/>
        </w:rPr>
        <w:t>科学性、合规性、实用性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30"/>
          <w:szCs w:val="30"/>
          <w:shd w:val="clear" w:fill="FFFFFF"/>
          <w:lang w:val="en-US" w:eastAsia="zh-CN" w:bidi="ar"/>
        </w:rPr>
        <w:t>原则，紧密结合学校办学规模、日常运营实际需求开展。项目立项前由学校财务部门、总务处联合开展经费需求测算，结合上一年度项目执行情况、本年度校园运营新增需求，制定项目资金使用方案；经学校领导班子集体研讨、审议通过后，按规定向主管部门海口市教育局报备，决策依据充分、流程合规，资金测算贴合学校实际运营需求，确保项目决策能够有效支撑校园日常运转。</w:t>
      </w:r>
    </w:p>
    <w:p w14:paraId="7C84FE6A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firstLine="600" w:firstLineChars="200"/>
        <w:jc w:val="left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  <w:shd w:val="clear" w:fill="FFFFFF"/>
        </w:rPr>
        <w:t>（二）项目资金安排落实、总投入情况</w:t>
      </w:r>
    </w:p>
    <w:p w14:paraId="1B114DA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bidi w:val="0"/>
        <w:spacing w:before="0" w:beforeAutospacing="0" w:after="0" w:afterAutospacing="0" w:line="360" w:lineRule="atLeast"/>
        <w:ind w:left="0" w:right="0" w:firstLine="600" w:firstLineChars="200"/>
        <w:jc w:val="left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30"/>
          <w:szCs w:val="30"/>
          <w:shd w:val="clear" w:fill="FFFFFF"/>
          <w:lang w:val="en-US" w:eastAsia="zh-CN" w:bidi="ar"/>
        </w:rPr>
        <w:t>本项目资金由</w:t>
      </w:r>
      <w:r>
        <w:rPr>
          <w:rStyle w:val="12"/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30"/>
          <w:szCs w:val="30"/>
          <w:shd w:val="clear" w:fill="FFFFFF"/>
          <w:lang w:val="en-US" w:eastAsia="zh-CN" w:bidi="ar"/>
        </w:rPr>
        <w:t>财政资金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30"/>
          <w:szCs w:val="30"/>
          <w:shd w:val="clear" w:fill="FFFFFF"/>
          <w:lang w:val="en-US" w:eastAsia="zh-CN" w:bidi="ar"/>
        </w:rPr>
        <w:t>和</w:t>
      </w:r>
      <w:r>
        <w:rPr>
          <w:rStyle w:val="12"/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30"/>
          <w:szCs w:val="30"/>
          <w:shd w:val="clear" w:fill="FFFFFF"/>
          <w:lang w:val="en-US" w:eastAsia="zh-CN" w:bidi="ar"/>
        </w:rPr>
        <w:t>单位资金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30"/>
          <w:szCs w:val="30"/>
          <w:shd w:val="clear" w:fill="FFFFFF"/>
          <w:lang w:val="en-US" w:eastAsia="zh-CN" w:bidi="ar"/>
        </w:rPr>
        <w:t>两部分构成，无财政专户管理资金，全年预算较年初预算略有调减，系根据实际运营需求进行的精准优化，资金安排与学校综合事务开展需求高度匹配，具体预算落实情况如下表：</w:t>
      </w:r>
    </w:p>
    <w:tbl>
      <w:tblPr>
        <w:tblStyle w:val="10"/>
        <w:tblW w:w="0" w:type="auto"/>
        <w:tblCellSpacing w:w="15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10"/>
        <w:gridCol w:w="2378"/>
        <w:gridCol w:w="2390"/>
        <w:gridCol w:w="2388"/>
      </w:tblGrid>
      <w:tr w14:paraId="768437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  <w:tblCellSpacing w:w="15" w:type="dxa"/>
        </w:trPr>
        <w:tc>
          <w:tcPr>
            <w:tcW w:w="0" w:type="auto"/>
            <w:shd w:val="clear" w:color="auto" w:fill="auto"/>
            <w:vAlign w:val="center"/>
          </w:tcPr>
          <w:p w14:paraId="1385BA4B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60" w:lineRule="atLeast"/>
              <w:ind w:left="0" w:right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30"/>
                <w:szCs w:val="30"/>
                <w:lang w:val="en-US" w:eastAsia="zh-CN" w:bidi="ar"/>
              </w:rPr>
              <w:t>资金类型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43CEB49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60" w:lineRule="atLeast"/>
              <w:ind w:left="0" w:right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30"/>
                <w:szCs w:val="30"/>
                <w:lang w:val="en-US" w:eastAsia="zh-CN" w:bidi="ar"/>
              </w:rPr>
              <w:t>年初预算数（元）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905B967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60" w:lineRule="atLeast"/>
              <w:ind w:left="0" w:right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30"/>
                <w:szCs w:val="30"/>
                <w:lang w:val="en-US" w:eastAsia="zh-CN" w:bidi="ar"/>
              </w:rPr>
              <w:t>全年预算数（元）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33C07D1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60" w:lineRule="atLeast"/>
              <w:ind w:left="0" w:right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30"/>
                <w:szCs w:val="30"/>
                <w:lang w:val="en-US" w:eastAsia="zh-CN" w:bidi="ar"/>
              </w:rPr>
              <w:t>预算调整额（元）</w:t>
            </w:r>
          </w:p>
        </w:tc>
      </w:tr>
      <w:tr w14:paraId="2F1BF3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auto"/>
            <w:vAlign w:val="center"/>
          </w:tcPr>
          <w:p w14:paraId="7C9758A3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60" w:lineRule="atLeast"/>
              <w:ind w:left="0" w:right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30"/>
                <w:szCs w:val="30"/>
                <w:lang w:val="en-US" w:eastAsia="zh-CN" w:bidi="ar"/>
              </w:rPr>
              <w:t>财政资金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418C36B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60" w:lineRule="atLeast"/>
              <w:ind w:left="0" w:right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30"/>
                <w:szCs w:val="30"/>
                <w:lang w:val="en-US" w:eastAsia="zh-CN" w:bidi="ar"/>
              </w:rPr>
              <w:t>5100000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FE926F0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60" w:lineRule="atLeast"/>
              <w:ind w:left="0" w:right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30"/>
                <w:szCs w:val="30"/>
                <w:lang w:val="en-US" w:eastAsia="zh-CN" w:bidi="ar"/>
              </w:rPr>
              <w:t>5099129.4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2E1B2A8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60" w:lineRule="atLeast"/>
              <w:ind w:left="0" w:right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30"/>
                <w:szCs w:val="30"/>
                <w:lang w:val="en-US" w:eastAsia="zh-CN" w:bidi="ar"/>
              </w:rPr>
              <w:t>-870.6</w:t>
            </w:r>
          </w:p>
        </w:tc>
      </w:tr>
      <w:tr w14:paraId="3DC98F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auto"/>
            <w:vAlign w:val="center"/>
          </w:tcPr>
          <w:p w14:paraId="4CB8FC27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60" w:lineRule="atLeast"/>
              <w:ind w:left="0" w:right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30"/>
                <w:szCs w:val="30"/>
                <w:lang w:val="en-US" w:eastAsia="zh-CN" w:bidi="ar"/>
              </w:rPr>
              <w:t>单位资金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A331B79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60" w:lineRule="atLeast"/>
              <w:ind w:left="0" w:right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30"/>
                <w:szCs w:val="30"/>
                <w:lang w:val="en-US" w:eastAsia="zh-CN" w:bidi="ar"/>
              </w:rPr>
              <w:t>4000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456F048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60" w:lineRule="atLeast"/>
              <w:ind w:left="0" w:right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30"/>
                <w:szCs w:val="30"/>
                <w:lang w:val="en-US" w:eastAsia="zh-CN" w:bidi="ar"/>
              </w:rPr>
              <w:t>4000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98997E4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60" w:lineRule="atLeast"/>
              <w:ind w:left="0" w:right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30"/>
                <w:szCs w:val="30"/>
                <w:lang w:val="en-US" w:eastAsia="zh-CN" w:bidi="ar"/>
              </w:rPr>
              <w:t>0</w:t>
            </w:r>
          </w:p>
        </w:tc>
      </w:tr>
      <w:tr w14:paraId="29BAA0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auto"/>
            <w:vAlign w:val="center"/>
          </w:tcPr>
          <w:p w14:paraId="2AC607F4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60" w:lineRule="atLeast"/>
              <w:ind w:left="0" w:right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Style w:val="12"/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30"/>
                <w:szCs w:val="30"/>
                <w:lang w:val="en-US" w:eastAsia="zh-CN" w:bidi="ar"/>
              </w:rPr>
              <w:t>资金总额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ECD01D4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60" w:lineRule="atLeast"/>
              <w:ind w:left="0" w:right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Style w:val="12"/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30"/>
                <w:szCs w:val="30"/>
                <w:lang w:val="en-US" w:eastAsia="zh-CN" w:bidi="ar"/>
              </w:rPr>
              <w:t>5104000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C07B81C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60" w:lineRule="atLeast"/>
              <w:ind w:left="0" w:right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Style w:val="12"/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30"/>
                <w:szCs w:val="30"/>
                <w:lang w:val="en-US" w:eastAsia="zh-CN" w:bidi="ar"/>
              </w:rPr>
              <w:t>5103129.4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9527611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60" w:lineRule="atLeast"/>
              <w:ind w:left="0" w:right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Style w:val="12"/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30"/>
                <w:szCs w:val="30"/>
                <w:lang w:val="en-US" w:eastAsia="zh-CN" w:bidi="ar"/>
              </w:rPr>
              <w:t>-870.6</w:t>
            </w:r>
          </w:p>
        </w:tc>
      </w:tr>
    </w:tbl>
    <w:p w14:paraId="583A9A94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firstLine="600" w:firstLineChars="200"/>
        <w:jc w:val="left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  <w:shd w:val="clear" w:fill="FFFFFF"/>
        </w:rPr>
        <w:t>（三）项目资金实际使用情况</w:t>
      </w:r>
    </w:p>
    <w:p w14:paraId="4419D6F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bidi w:val="0"/>
        <w:spacing w:before="0" w:beforeAutospacing="0" w:after="0" w:afterAutospacing="0" w:line="360" w:lineRule="atLeast"/>
        <w:ind w:left="0" w:right="0" w:firstLine="600" w:firstLineChars="200"/>
        <w:jc w:val="left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30"/>
          <w:szCs w:val="30"/>
          <w:shd w:val="clear" w:fill="FFFFFF"/>
          <w:lang w:val="en-US" w:eastAsia="zh-CN" w:bidi="ar"/>
        </w:rPr>
        <w:t>项目资金严格按照预算用途执行，无挤占、挪用、截留、超支等违规情况，资金执行率高达99.98%，单位资金100% 执行完毕，未执行资金为合理微调结余，无资金闲置、沉淀问题，资金支付与项目实施进度同步，执行效果优异，具体执行情况如下表：</w:t>
      </w:r>
    </w:p>
    <w:tbl>
      <w:tblPr>
        <w:tblStyle w:val="10"/>
        <w:tblW w:w="0" w:type="auto"/>
        <w:tblCellSpacing w:w="15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974"/>
        <w:gridCol w:w="2114"/>
        <w:gridCol w:w="2159"/>
        <w:gridCol w:w="1080"/>
        <w:gridCol w:w="2039"/>
      </w:tblGrid>
      <w:tr w14:paraId="258F59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blHeader/>
          <w:tblCellSpacing w:w="15" w:type="dxa"/>
        </w:trPr>
        <w:tc>
          <w:tcPr>
            <w:tcW w:w="0" w:type="auto"/>
            <w:shd w:val="clear" w:color="auto" w:fill="auto"/>
            <w:vAlign w:val="center"/>
          </w:tcPr>
          <w:p w14:paraId="12DCC4E4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60" w:lineRule="atLeast"/>
              <w:ind w:left="0" w:right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30"/>
                <w:szCs w:val="30"/>
                <w:lang w:val="en-US" w:eastAsia="zh-CN" w:bidi="ar"/>
              </w:rPr>
              <w:t>资金类型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1513D52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60" w:lineRule="atLeast"/>
              <w:ind w:left="0" w:right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30"/>
                <w:szCs w:val="30"/>
                <w:lang w:val="en-US" w:eastAsia="zh-CN" w:bidi="ar"/>
              </w:rPr>
              <w:t>全年预算数（元）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5661D0B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60" w:lineRule="atLeast"/>
              <w:ind w:left="0" w:right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30"/>
                <w:szCs w:val="30"/>
                <w:lang w:val="en-US" w:eastAsia="zh-CN" w:bidi="ar"/>
              </w:rPr>
              <w:t>全年执行数（元）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A2FE6FB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60" w:lineRule="atLeast"/>
              <w:ind w:left="0" w:right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30"/>
                <w:szCs w:val="30"/>
                <w:lang w:val="en-US" w:eastAsia="zh-CN" w:bidi="ar"/>
              </w:rPr>
              <w:t>执行率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EA19B77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60" w:lineRule="atLeast"/>
              <w:ind w:left="0" w:right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30"/>
                <w:szCs w:val="30"/>
                <w:lang w:val="en-US" w:eastAsia="zh-CN" w:bidi="ar"/>
              </w:rPr>
              <w:t>未执行金额（元）</w:t>
            </w:r>
          </w:p>
        </w:tc>
      </w:tr>
      <w:tr w14:paraId="24BDA8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auto"/>
            <w:vAlign w:val="center"/>
          </w:tcPr>
          <w:p w14:paraId="5F147924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60" w:lineRule="atLeast"/>
              <w:ind w:left="0" w:right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30"/>
                <w:szCs w:val="30"/>
                <w:lang w:val="en-US" w:eastAsia="zh-CN" w:bidi="ar"/>
              </w:rPr>
              <w:t>财政资金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5BA35C0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60" w:lineRule="atLeast"/>
              <w:ind w:left="0" w:right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30"/>
                <w:szCs w:val="30"/>
                <w:lang w:val="en-US" w:eastAsia="zh-CN" w:bidi="ar"/>
              </w:rPr>
              <w:t>5099129.4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909BCC6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60" w:lineRule="atLeast"/>
              <w:ind w:left="0" w:right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30"/>
                <w:szCs w:val="30"/>
                <w:lang w:val="en-US" w:eastAsia="zh-CN" w:bidi="ar"/>
              </w:rPr>
              <w:t>5098068.87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1658FE7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60" w:lineRule="atLeast"/>
              <w:ind w:left="0" w:right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30"/>
                <w:szCs w:val="30"/>
                <w:lang w:val="en-US" w:eastAsia="zh-CN" w:bidi="ar"/>
              </w:rPr>
              <w:t>99.98%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F982156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60" w:lineRule="atLeast"/>
              <w:ind w:left="0" w:right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30"/>
                <w:szCs w:val="30"/>
                <w:lang w:val="en-US" w:eastAsia="zh-CN" w:bidi="ar"/>
              </w:rPr>
              <w:t>1060.53</w:t>
            </w:r>
          </w:p>
        </w:tc>
      </w:tr>
      <w:tr w14:paraId="005066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auto"/>
            <w:vAlign w:val="center"/>
          </w:tcPr>
          <w:p w14:paraId="42B42C94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60" w:lineRule="atLeast"/>
              <w:ind w:left="0" w:right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30"/>
                <w:szCs w:val="30"/>
                <w:lang w:val="en-US" w:eastAsia="zh-CN" w:bidi="ar"/>
              </w:rPr>
              <w:t>单位资金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81216C9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60" w:lineRule="atLeast"/>
              <w:ind w:left="0" w:right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30"/>
                <w:szCs w:val="30"/>
                <w:lang w:val="en-US" w:eastAsia="zh-CN" w:bidi="ar"/>
              </w:rPr>
              <w:t>4000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F4DD359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60" w:lineRule="atLeast"/>
              <w:ind w:left="0" w:right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30"/>
                <w:szCs w:val="30"/>
                <w:lang w:val="en-US" w:eastAsia="zh-CN" w:bidi="ar"/>
              </w:rPr>
              <w:t>4000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BE5B43C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60" w:lineRule="atLeast"/>
              <w:ind w:left="0" w:right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30"/>
                <w:szCs w:val="30"/>
                <w:lang w:val="en-US" w:eastAsia="zh-CN" w:bidi="ar"/>
              </w:rPr>
              <w:t>100.00%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7B07CF0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60" w:lineRule="atLeast"/>
              <w:ind w:left="0" w:right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30"/>
                <w:szCs w:val="30"/>
                <w:lang w:val="en-US" w:eastAsia="zh-CN" w:bidi="ar"/>
              </w:rPr>
              <w:t>0</w:t>
            </w:r>
          </w:p>
        </w:tc>
      </w:tr>
      <w:tr w14:paraId="11B0D4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auto"/>
            <w:vAlign w:val="center"/>
          </w:tcPr>
          <w:p w14:paraId="2EC5C40D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60" w:lineRule="atLeast"/>
              <w:ind w:left="0" w:right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Style w:val="12"/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30"/>
                <w:szCs w:val="30"/>
                <w:lang w:val="en-US" w:eastAsia="zh-CN" w:bidi="ar"/>
              </w:rPr>
              <w:t>资金总额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E51E7CF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60" w:lineRule="atLeast"/>
              <w:ind w:left="0" w:right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Style w:val="12"/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30"/>
                <w:szCs w:val="30"/>
                <w:lang w:val="en-US" w:eastAsia="zh-CN" w:bidi="ar"/>
              </w:rPr>
              <w:t>5103129.4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40A17FB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60" w:lineRule="atLeast"/>
              <w:ind w:left="0" w:right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Style w:val="12"/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30"/>
                <w:szCs w:val="30"/>
                <w:lang w:val="en-US" w:eastAsia="zh-CN" w:bidi="ar"/>
              </w:rPr>
              <w:t>5102068.87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C29F014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60" w:lineRule="atLeast"/>
              <w:ind w:left="0" w:right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Style w:val="12"/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30"/>
                <w:szCs w:val="30"/>
                <w:lang w:val="en-US" w:eastAsia="zh-CN" w:bidi="ar"/>
              </w:rPr>
              <w:t>99.98%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90D0400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60" w:lineRule="atLeast"/>
              <w:ind w:left="0" w:right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Style w:val="12"/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0"/>
                <w:sz w:val="30"/>
                <w:szCs w:val="30"/>
                <w:lang w:val="en-US" w:eastAsia="zh-CN" w:bidi="ar"/>
              </w:rPr>
              <w:t>1060.53</w:t>
            </w:r>
          </w:p>
        </w:tc>
      </w:tr>
    </w:tbl>
    <w:p w14:paraId="2A830FA1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firstLine="600" w:firstLineChars="200"/>
        <w:jc w:val="left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  <w:shd w:val="clear" w:fill="FFFFFF"/>
        </w:rPr>
        <w:t>（四）项目资金管理情况</w:t>
      </w:r>
    </w:p>
    <w:p w14:paraId="53D7B6E0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-360" w:leftChars="0" w:right="0" w:rightChars="0" w:firstLine="600" w:firstLineChars="200"/>
        <w:jc w:val="left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</w:rPr>
      </w:pPr>
      <w:r>
        <w:rPr>
          <w:rStyle w:val="12"/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  <w:shd w:val="clear" w:fill="FFFFFF"/>
        </w:rPr>
        <w:t>制度保障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  <w:shd w:val="clear" w:fill="FFFFFF"/>
        </w:rPr>
        <w:t>：学校严格执行《预算法》《行政事业单位财务规则》等国家及地方财务管理制度，结合本校实际制定《财务内部控制制度》《日常运转经费使用管理细则》，明确综合事务项目资金的使用范围、审批流程、支付标准，形成制度化、规范化的资金管理体系。</w:t>
      </w:r>
    </w:p>
    <w:p w14:paraId="2CC1FB51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-360" w:leftChars="0" w:right="0" w:rightChars="0" w:firstLine="600" w:firstLineChars="200"/>
        <w:jc w:val="left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</w:rPr>
      </w:pPr>
      <w:r>
        <w:rPr>
          <w:rStyle w:val="12"/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  <w:shd w:val="clear" w:fill="FFFFFF"/>
        </w:rPr>
        <w:t>流程管控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  <w:shd w:val="clear" w:fill="FFFFFF"/>
        </w:rPr>
        <w:t>：建立 “处室申请 - 财务审核 - 校领导分级审批 - 资金支付 - 核算归档” 的全流程资金使用管控机制，各项经费支出均需提供真实、合规的佐证材料，财务部门对资金使用的合规性、合理性进行双重审核，确保资金专款专用。</w:t>
      </w:r>
    </w:p>
    <w:p w14:paraId="43093323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-360" w:leftChars="0" w:right="0" w:rightChars="0" w:firstLine="600" w:firstLineChars="200"/>
        <w:jc w:val="left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</w:rPr>
      </w:pPr>
      <w:r>
        <w:rPr>
          <w:rStyle w:val="12"/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  <w:shd w:val="clear" w:fill="FFFFFF"/>
        </w:rPr>
        <w:t>动态监控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  <w:shd w:val="clear" w:fill="FFFFFF"/>
        </w:rPr>
        <w:t>：财务部门定期对项目资金执行进度开展统计分析，及时掌握预算执行偏差，针对未执行到位的资金及时核查原因，结合项目实施进度优化支付计划，确保资金执行率与项目推进效率相匹配，有效提升资金使用效益。</w:t>
      </w:r>
    </w:p>
    <w:p w14:paraId="05B41EF7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firstLine="300" w:firstLineChars="100"/>
        <w:jc w:val="left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  <w:shd w:val="clear" w:fill="FFFFFF"/>
        </w:rPr>
        <w:t>三、项目组织实施情况</w:t>
      </w:r>
    </w:p>
    <w:p w14:paraId="47B44D70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  <w:shd w:val="clear" w:fill="FFFFFF"/>
        </w:rPr>
        <w:t>（一）项目组织情况</w:t>
      </w:r>
    </w:p>
    <w:p w14:paraId="7A46A9F4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-360" w:leftChars="0" w:right="0" w:rightChars="0" w:firstLine="600" w:firstLineChars="200"/>
        <w:jc w:val="left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</w:rPr>
      </w:pPr>
      <w:r>
        <w:rPr>
          <w:rStyle w:val="12"/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  <w:shd w:val="clear" w:fill="FFFFFF"/>
        </w:rPr>
        <w:t>分工明确，协同推进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  <w:shd w:val="clear" w:fill="FFFFFF"/>
        </w:rPr>
        <w:t>：学校成立综合事务项目实施工作小组，由总务处牵头负责项目整体推进，包括物业服务对接、零星维修实施、设备采购落地等具体工作；财务部门负责资金预算、拨付、核算及财务管控；各行政处室配合落实日常办公保障需求，形成 “牵头负责、分工协作、全员配合” 的组织实施机制，确保各项综合事务有序落地。</w:t>
      </w:r>
    </w:p>
    <w:p w14:paraId="72E1CE84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-360" w:leftChars="0" w:right="0" w:rightChars="0" w:firstLine="600" w:firstLineChars="200"/>
        <w:jc w:val="left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</w:rPr>
      </w:pPr>
      <w:r>
        <w:rPr>
          <w:rStyle w:val="12"/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  <w:shd w:val="clear" w:fill="FFFFFF"/>
        </w:rPr>
        <w:t>规范采购，严格验收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  <w:shd w:val="clear" w:fill="FFFFFF"/>
        </w:rPr>
        <w:t>：项目中涉及的物业服务外包、设备采购、零星维修等工作，严格按照《政府采购法》及海口市相关采购管理规定执行，按需采用合规采购方式确定合作方；所有采购项目、维修工程完成后，由总务处、使用部门、财务部门联合开展验收，对照合同约定、质量标准进行逐项核查，验收合格后方可办理资金结算，2025年度项目验收合格率100%。</w:t>
      </w:r>
    </w:p>
    <w:p w14:paraId="6562CA4B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-360" w:leftChars="0" w:right="0" w:rightChars="0" w:firstLine="600" w:firstLineChars="200"/>
        <w:jc w:val="left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</w:rPr>
      </w:pPr>
      <w:r>
        <w:rPr>
          <w:rStyle w:val="12"/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  <w:shd w:val="clear" w:fill="FFFFFF"/>
        </w:rPr>
        <w:t>按需调整，精准落地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  <w:shd w:val="clear" w:fill="FFFFFF"/>
        </w:rPr>
        <w:t>：项目实施过程中，针对校园日常运转的动态需求，在预算总额内对资金使用结构进行小幅精准调整，调整流程履行校内集体审议程序，确保调整后的资金使用方案更贴合实际运营需求，无随意变更项目内容、超范围使用资金的情况。</w:t>
      </w:r>
    </w:p>
    <w:p w14:paraId="4C5A3981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  <w:shd w:val="clear" w:fill="FFFFFF"/>
        </w:rPr>
        <w:t>（二）项目管理情况</w:t>
      </w:r>
    </w:p>
    <w:p w14:paraId="0F88F4F3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-360" w:leftChars="0" w:right="0" w:rightChars="0" w:firstLine="600" w:firstLineChars="200"/>
        <w:jc w:val="left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</w:rPr>
      </w:pPr>
      <w:r>
        <w:rPr>
          <w:rStyle w:val="12"/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  <w:shd w:val="clear" w:fill="FFFFFF"/>
        </w:rPr>
        <w:t>管理制度健全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  <w:shd w:val="clear" w:fill="FFFFFF"/>
        </w:rPr>
        <w:t>：在资金管理基础上，学校完善《物业服务管理考核办法》《校园零星维修管理细则》《固定资产采购管理办法》等配套制度，明确物业服务考核标准、零星维修施工要求、设备采购流程规范，为项目实施各环节提供制度依据，实现 “用制度管人、按流程办事”。</w:t>
      </w:r>
    </w:p>
    <w:p w14:paraId="1ABC138F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-360" w:leftChars="0" w:right="0" w:rightChars="0" w:firstLine="600" w:firstLineChars="200"/>
        <w:jc w:val="left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</w:rPr>
      </w:pPr>
      <w:r>
        <w:rPr>
          <w:rStyle w:val="12"/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  <w:shd w:val="clear" w:fill="FFFFFF"/>
        </w:rPr>
        <w:t>日常监督到位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  <w:shd w:val="clear" w:fill="FFFFFF"/>
        </w:rPr>
        <w:t>：建立 “日常巡查 + 定期考核 + 专项督查” 的三重监督机制：总务处每日对物业服务落实情况、校园设施运行情况进行巡查，及时发现并解决问题；每月对物业服务单位的工作成效进行量化考核，考核结果与服务费用支付挂钩；每季度由学校工作小组开展项目专项督查，重点检查资金使用合规性、项目实施质量及进度，确保项目实施全程可控。</w:t>
      </w:r>
    </w:p>
    <w:p w14:paraId="1FF65E1E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-360" w:leftChars="0" w:right="0" w:rightChars="0" w:firstLine="600" w:firstLineChars="200"/>
        <w:jc w:val="left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</w:rPr>
      </w:pPr>
      <w:r>
        <w:rPr>
          <w:rStyle w:val="12"/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  <w:shd w:val="clear" w:fill="FFFFFF"/>
        </w:rPr>
        <w:t>台账管理规范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  <w:shd w:val="clear" w:fill="FFFFFF"/>
        </w:rPr>
        <w:t>：对项目实施全过程建立完整台账，包括物业服务考核记录、零星维修施工及验收台账、设备采购合同及入库台账、资金支付凭证及核算台账等，做到资料齐全、账证相符、有据可查，为项目绩效评价、后续工作开展提供完整的数据支撑。</w:t>
      </w:r>
    </w:p>
    <w:p w14:paraId="514C91E3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firstLine="300" w:firstLineChars="100"/>
        <w:jc w:val="left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  <w:shd w:val="clear" w:fill="FFFFFF"/>
        </w:rPr>
        <w:t>四、项目绩效情况</w:t>
      </w:r>
    </w:p>
    <w:p w14:paraId="5C384D70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bidi w:val="0"/>
        <w:spacing w:before="0" w:beforeAutospacing="0" w:after="0" w:afterAutospacing="0" w:line="360" w:lineRule="atLeast"/>
        <w:ind w:left="0" w:right="0" w:firstLine="300" w:firstLineChars="100"/>
        <w:jc w:val="left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30"/>
          <w:szCs w:val="30"/>
          <w:shd w:val="clear" w:fill="FFFFFF"/>
          <w:lang w:val="en-US" w:eastAsia="zh-CN" w:bidi="ar"/>
        </w:rPr>
        <w:t>本项目2025年度各项绩效指标均100%达成，自评总分100 分，从</w:t>
      </w:r>
      <w:r>
        <w:rPr>
          <w:rStyle w:val="12"/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30"/>
          <w:szCs w:val="30"/>
          <w:shd w:val="clear" w:fill="FFFFFF"/>
          <w:lang w:val="en-US" w:eastAsia="zh-CN" w:bidi="ar"/>
        </w:rPr>
        <w:t>经济性、效率性、有效性、可持续性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30"/>
          <w:szCs w:val="30"/>
          <w:shd w:val="clear" w:fill="FFFFFF"/>
          <w:lang w:val="en-US" w:eastAsia="zh-CN" w:bidi="ar"/>
        </w:rPr>
        <w:t>四大维度分析，项目资金使用效益充分发挥，全面实现预设绩效目标，为学校日常运转提供了坚实保障，具体分析如下：</w:t>
      </w:r>
    </w:p>
    <w:p w14:paraId="3536A582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firstLine="300" w:firstLineChars="100"/>
        <w:jc w:val="left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  <w:shd w:val="clear" w:fill="FFFFFF"/>
        </w:rPr>
        <w:t>（一）项目绩效目标完成情况</w:t>
      </w:r>
    </w:p>
    <w:p w14:paraId="1174E3D9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firstLine="600" w:firstLineChars="200"/>
        <w:jc w:val="left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  <w:shd w:val="clear" w:fill="FFFFFF"/>
        </w:rPr>
        <w:t>经济性分析：成本管控精准，资金高效节约</w:t>
      </w:r>
    </w:p>
    <w:p w14:paraId="421DF546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bidi w:val="0"/>
        <w:spacing w:before="0" w:beforeAutospacing="0" w:after="0" w:afterAutospacing="0" w:line="360" w:lineRule="atLeast"/>
        <w:ind w:left="0" w:right="0" w:firstLine="600" w:firstLineChars="200"/>
        <w:jc w:val="left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30"/>
          <w:szCs w:val="30"/>
          <w:shd w:val="clear" w:fill="FFFFFF"/>
          <w:lang w:val="en-US" w:eastAsia="zh-CN" w:bidi="ar"/>
        </w:rPr>
        <w:t>本项目严格执行精细化预算管控，实现成本控制与资金效益的双重提升：一是精准控制项目总成本，全年资金执行率 99.98%，未执行资金为预算微调后的合理结余，无资金浪费、闲置情况；二是严控单项成本指标，设备采购、新增保管室实际支出29.9万元，控制在30万元的预算指标内，成本控制达标率100%；三是通过合规采购、量化考核物业服务等方式，进一步降低运营成本，在保障服务质量和工作成效的前提下，最大限度提升财政资金的使用效益。</w:t>
      </w:r>
    </w:p>
    <w:p w14:paraId="4F407392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firstLine="600" w:firstLineChars="200"/>
        <w:jc w:val="left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  <w:shd w:val="clear" w:fill="FFFFFF"/>
        </w:rPr>
        <w:t>效率性分析：实施进度高效，完成质量优异</w:t>
      </w:r>
    </w:p>
    <w:p w14:paraId="62C09D97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bidi w:val="0"/>
        <w:spacing w:before="0" w:beforeAutospacing="0" w:after="0" w:afterAutospacing="0" w:line="360" w:lineRule="atLeast"/>
        <w:ind w:left="0" w:right="0" w:firstLine="600" w:firstLineChars="200"/>
        <w:jc w:val="left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30"/>
          <w:szCs w:val="30"/>
          <w:shd w:val="clear" w:fill="FFFFFF"/>
          <w:lang w:val="en-US" w:eastAsia="zh-CN" w:bidi="ar"/>
        </w:rPr>
        <w:t>项目实施全程严格按照年度工作计划推进，实现</w:t>
      </w:r>
      <w:r>
        <w:rPr>
          <w:rStyle w:val="12"/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30"/>
          <w:szCs w:val="30"/>
          <w:shd w:val="clear" w:fill="FFFFFF"/>
          <w:lang w:val="en-US" w:eastAsia="zh-CN" w:bidi="ar"/>
        </w:rPr>
        <w:t>进度高效、质量达标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30"/>
          <w:szCs w:val="30"/>
          <w:shd w:val="clear" w:fill="FFFFFF"/>
          <w:lang w:val="en-US" w:eastAsia="zh-CN" w:bidi="ar"/>
        </w:rPr>
        <w:t>的双重成效：一是项目实施进度与时间计划高度匹配，物业服务、零星维修、设备采购等各项工作均在2025年度内按时完成，无延期、滞后情况，及时保障了学校日常运转需求；二是项目完成质量全程可控，零星维修验收合格率100%，设备采购均符合国家相关质量标准，物业服务考核均达优良标准，无质量问题返工、整改情况；三是人力保障效率超额达标，实际维持正常办公人员数601人，远超≥450人的年度指标值，充分保障了学校各部门日常办公、综合事务的高效开展。</w:t>
      </w:r>
    </w:p>
    <w:p w14:paraId="4485610D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firstLine="600" w:firstLineChars="200"/>
        <w:jc w:val="left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  <w:shd w:val="clear" w:fill="FFFFFF"/>
        </w:rPr>
        <w:t>有效性分析：运转保障到位，办学支撑有力</w:t>
      </w:r>
    </w:p>
    <w:p w14:paraId="7795DBA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bidi w:val="0"/>
        <w:spacing w:before="0" w:beforeAutospacing="0" w:after="0" w:afterAutospacing="0" w:line="360" w:lineRule="atLeast"/>
        <w:ind w:left="0" w:right="0" w:firstLine="600" w:firstLineChars="200"/>
        <w:jc w:val="left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30"/>
          <w:szCs w:val="30"/>
          <w:shd w:val="clear" w:fill="FFFFFF"/>
          <w:lang w:val="en-US" w:eastAsia="zh-CN" w:bidi="ar"/>
        </w:rPr>
        <w:t>项目资金的足额投入和规范使用，实现了“保运转、促教学、提效能”的核心目标，有效性突出：一是全面保障校园日常运转，物业服务及时落地，校园保洁、安保、设施维护等工作有序开展，行政办公、后勤保障等日常工作零停滞；二是精准支撑教育教学开展，零星维修及时修复校园设施隐患，设备采购完善办公及教学配套，为教育教学工作提供了稳定的后勤保障，项目实施对学校教育教学开展的支撑成效评定为“优”；三是提升校园综合管理效能，通过规范化的综合事务管理，推动学校各项工作流程优化、效率提升，营造了有序、高效的办学运营环境。</w:t>
      </w:r>
    </w:p>
    <w:p w14:paraId="7CBAA38C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firstLine="600" w:firstLineChars="200"/>
        <w:jc w:val="left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  <w:shd w:val="clear" w:fill="FFFFFF"/>
        </w:rPr>
        <w:t>可持续性分析：多维保障健全，长效运营可期</w:t>
      </w:r>
    </w:p>
    <w:p w14:paraId="0A29F1F8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bidi w:val="0"/>
        <w:spacing w:before="0" w:beforeAutospacing="0" w:after="0" w:afterAutospacing="0" w:line="360" w:lineRule="atLeast"/>
        <w:ind w:left="0" w:right="0" w:firstLine="600" w:firstLineChars="200"/>
        <w:jc w:val="left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30"/>
          <w:szCs w:val="30"/>
          <w:shd w:val="clear" w:fill="FFFFFF"/>
          <w:lang w:val="en-US" w:eastAsia="zh-CN" w:bidi="ar"/>
        </w:rPr>
        <w:t>本项目作为学校日常运转保障性项目，在</w:t>
      </w:r>
      <w:r>
        <w:rPr>
          <w:rStyle w:val="12"/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30"/>
          <w:szCs w:val="30"/>
          <w:shd w:val="clear" w:fill="FFFFFF"/>
          <w:lang w:val="en-US" w:eastAsia="zh-CN" w:bidi="ar"/>
        </w:rPr>
        <w:t>政策、资金、管理、人员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30"/>
          <w:szCs w:val="30"/>
          <w:shd w:val="clear" w:fill="FFFFFF"/>
          <w:lang w:val="en-US" w:eastAsia="zh-CN" w:bidi="ar"/>
        </w:rPr>
        <w:t>等方面均具备坚实的可持续性基础，能够长期为学校办学运营提供稳定支撑：</w:t>
      </w:r>
    </w:p>
    <w:p w14:paraId="01FA3910"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</w:rPr>
      </w:pPr>
      <w:r>
        <w:rPr>
          <w:rFonts w:hint="eastAsia" w:cstheme="minorEastAsia"/>
          <w:b w:val="0"/>
          <w:bCs w:val="0"/>
          <w:color w:val="000000"/>
          <w:sz w:val="30"/>
          <w:szCs w:val="30"/>
          <w:shd w:val="clear" w:fill="FFFFFF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  <w:shd w:val="clear" w:fill="FFFFFF"/>
        </w:rPr>
        <w:t>政策层面：校园日常运转保障是义务教育学校办学的基本要求，上级主管部门持续出台相关财务、管理政策，为项目实施提供长期、稳定的政策支撑；</w:t>
      </w:r>
    </w:p>
    <w:p w14:paraId="41113869"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</w:rPr>
      </w:pPr>
      <w:r>
        <w:rPr>
          <w:rFonts w:hint="eastAsia" w:cstheme="minorEastAsia"/>
          <w:b w:val="0"/>
          <w:bCs w:val="0"/>
          <w:color w:val="000000"/>
          <w:sz w:val="30"/>
          <w:szCs w:val="30"/>
          <w:shd w:val="clear" w:fill="FFFFFF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  <w:shd w:val="clear" w:fill="FFFFFF"/>
        </w:rPr>
        <w:t>资金层面：项目资金以财政资金为主，海口市财政局、教育局将根据学校办学规模、运营成本变化，持续足额安排年度预算，资金来源可靠、可持续，单位资金为辅的结构可灵活补充日常运转需求；</w:t>
      </w:r>
    </w:p>
    <w:p w14:paraId="67465F5B"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</w:rPr>
      </w:pPr>
      <w:r>
        <w:rPr>
          <w:rFonts w:hint="eastAsia" w:cstheme="minorEastAsia"/>
          <w:b w:val="0"/>
          <w:bCs w:val="0"/>
          <w:color w:val="000000"/>
          <w:sz w:val="30"/>
          <w:szCs w:val="30"/>
          <w:shd w:val="clear" w:fill="FFFFFF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  <w:shd w:val="clear" w:fill="FFFFFF"/>
        </w:rPr>
        <w:t>管理层面：学校已建立完善的项目管理制度、资金管控体系和组织实施机制，形成了成熟的流程化管理模式，后续可根据办学发展需求持续优化，为项目长期实施提供制度保障；</w:t>
      </w:r>
    </w:p>
    <w:p w14:paraId="5DEB50FF"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  <w:shd w:val="clear" w:fill="FFFFFF"/>
        </w:rPr>
        <w:t>人员层面：项目实施的工作小组及各部门工作人员队伍稳定，具备丰富的综合事务管理和资金使用经验，能够保障项目长期高效推进。</w:t>
      </w:r>
    </w:p>
    <w:p w14:paraId="3B293021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  <w:shd w:val="clear" w:fill="FFFFFF"/>
        </w:rPr>
        <w:t>（二）项目绩效目标未完成情况及原因分析</w:t>
      </w:r>
    </w:p>
    <w:p w14:paraId="7A2F2611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bidi w:val="0"/>
        <w:spacing w:before="0" w:beforeAutospacing="0" w:after="0" w:afterAutospacing="0" w:line="360" w:lineRule="atLeast"/>
        <w:ind w:left="0" w:right="0"/>
        <w:jc w:val="left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30"/>
          <w:szCs w:val="30"/>
          <w:shd w:val="clear" w:fill="FFFFFF"/>
          <w:lang w:val="en-US" w:eastAsia="zh-CN" w:bidi="ar"/>
        </w:rPr>
        <w:t>2025年度，本项目严格按照年初预算设定的各项绩效目标推进实施，通过科学的决策管理、精细化的过程管控、高效的部门协同，</w:t>
      </w:r>
      <w:r>
        <w:rPr>
          <w:rStyle w:val="12"/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30"/>
          <w:szCs w:val="30"/>
          <w:shd w:val="clear" w:fill="FFFFFF"/>
          <w:lang w:val="en-US" w:eastAsia="zh-CN" w:bidi="ar"/>
        </w:rPr>
        <w:t>所有绩效指标均100%达成，无未完成目标、无实施偏差、无绩效扣分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30"/>
          <w:szCs w:val="30"/>
          <w:shd w:val="clear" w:fill="FFFFFF"/>
          <w:lang w:val="en-US" w:eastAsia="zh-CN" w:bidi="ar"/>
        </w:rPr>
        <w:t>，未发现任何影响绩效目标达成的问题。</w:t>
      </w:r>
    </w:p>
    <w:p w14:paraId="62A19C4B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right="0" w:firstLine="600" w:firstLineChars="200"/>
        <w:jc w:val="left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  <w:shd w:val="clear" w:fill="FFFFFF"/>
        </w:rPr>
        <w:t>其他需要说明的问题</w:t>
      </w:r>
    </w:p>
    <w:p w14:paraId="199DB945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right="0" w:firstLine="300" w:firstLineChars="100"/>
        <w:jc w:val="left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  <w:shd w:val="clear" w:fill="FFFFFF"/>
        </w:rPr>
        <w:t>（一）主要经验及做法</w:t>
      </w:r>
    </w:p>
    <w:p w14:paraId="1EC6D28B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-360" w:leftChars="0" w:right="0" w:rightChars="0" w:firstLine="600" w:firstLineChars="200"/>
        <w:jc w:val="left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</w:rPr>
      </w:pPr>
      <w:r>
        <w:rPr>
          <w:rStyle w:val="12"/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  <w:shd w:val="clear" w:fill="FFFFFF"/>
        </w:rPr>
        <w:t>需求导向，科学决策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  <w:shd w:val="clear" w:fill="FFFFFF"/>
        </w:rPr>
        <w:t>：始终以学校日常运营实际需求为核心开展项目决策，结合办学规模、工作实际开展精准的经费测算，确保项目立项、资金安排贴合学校发展实际，从源头保障项目实施的有效性。</w:t>
      </w:r>
    </w:p>
    <w:p w14:paraId="4184B875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-360" w:leftChars="0" w:right="0" w:rightChars="0" w:firstLine="600" w:firstLineChars="200"/>
        <w:jc w:val="left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</w:rPr>
      </w:pPr>
      <w:r>
        <w:rPr>
          <w:rStyle w:val="12"/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  <w:shd w:val="clear" w:fill="FFFFFF"/>
        </w:rPr>
        <w:t>制度先行，规范管理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  <w:shd w:val="clear" w:fill="FFFFFF"/>
        </w:rPr>
        <w:t>：构建 “财务管理制度 + 项目实施细则 + 岗位考核办法” 的全方位制度体系，明确项目各环节的管理要求和操作流程，实现资金使用、项目实施、监督考核的制度化、规范化，从制度层面规避管理风险。</w:t>
      </w:r>
    </w:p>
    <w:p w14:paraId="3DD48E4B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-360" w:leftChars="0" w:right="0" w:rightChars="0" w:firstLine="600" w:firstLineChars="200"/>
        <w:jc w:val="left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</w:rPr>
      </w:pPr>
      <w:r>
        <w:rPr>
          <w:rStyle w:val="12"/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  <w:shd w:val="clear" w:fill="FFFFFF"/>
        </w:rPr>
        <w:t>精细管控，提升效益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  <w:shd w:val="clear" w:fill="FFFFFF"/>
        </w:rPr>
        <w:t>：推行全流程精细化管理，从预算编制、资金使用到项目实施、验收考核，每个环节均建立严格的管控标准和台账记录，同时强化成本控制，精准把控各项开支，最大限度提升财政资金使用效益。</w:t>
      </w:r>
    </w:p>
    <w:p w14:paraId="6CE2F3DE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-360" w:leftChars="0" w:right="0" w:rightChars="0" w:firstLine="600" w:firstLineChars="200"/>
        <w:jc w:val="left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</w:rPr>
      </w:pPr>
      <w:r>
        <w:rPr>
          <w:rStyle w:val="12"/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  <w:shd w:val="clear" w:fill="FFFFFF"/>
        </w:rPr>
        <w:t>协同发力，高效推进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  <w:shd w:val="clear" w:fill="FFFFFF"/>
        </w:rPr>
        <w:t>：建立多部门分工协作的组织实施机制，明确各部门职责边界，实现总务处、财务部门、各行政处室的高效协同，同时将考核机制融入项目实施，推动物业服务、合作单位提升工作成效，保障项目落地质量。</w:t>
      </w:r>
    </w:p>
    <w:p w14:paraId="3B08D691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  <w:shd w:val="clear" w:fill="FFFFFF"/>
        </w:rPr>
        <w:t>（二）存在问题</w:t>
      </w:r>
    </w:p>
    <w:p w14:paraId="58EF5FAB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-360" w:leftChars="0" w:right="0" w:rightChars="0" w:firstLine="600" w:firstLineChars="200"/>
        <w:jc w:val="left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</w:rPr>
      </w:pPr>
      <w:r>
        <w:rPr>
          <w:rStyle w:val="12"/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  <w:shd w:val="clear" w:fill="FFFFFF"/>
        </w:rPr>
        <w:t>预算编制的前瞻性需进一步提升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  <w:shd w:val="clear" w:fill="FFFFFF"/>
        </w:rPr>
        <w:t>：本次预算虽实现精准管控，但部分环节因校园运营需求的动态变化，仍存在小幅预算调整，反映出预算编制对突发、新增需求的前瞻性预判仍需加强。</w:t>
      </w:r>
    </w:p>
    <w:p w14:paraId="29A1FCED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-360" w:leftChars="0" w:right="0" w:rightChars="0" w:firstLine="600" w:firstLineChars="200"/>
        <w:jc w:val="left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</w:rPr>
      </w:pPr>
      <w:r>
        <w:rPr>
          <w:rStyle w:val="12"/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  <w:shd w:val="clear" w:fill="FFFFFF"/>
        </w:rPr>
        <w:t>绩效指标体系的深度需进一步拓展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  <w:shd w:val="clear" w:fill="FFFFFF"/>
        </w:rPr>
        <w:t>：目前绩效指标以基础量化指标和定性指标为主，针对物业服务效益、综合事务管理效能的</w:t>
      </w:r>
      <w:r>
        <w:rPr>
          <w:rStyle w:val="12"/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  <w:shd w:val="clear" w:fill="FFFFFF"/>
        </w:rPr>
        <w:t>长效性、精细化评价指标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  <w:shd w:val="clear" w:fill="FFFFFF"/>
        </w:rPr>
        <w:t>不足，指标体系的全面性和深度有待拓展。</w:t>
      </w:r>
    </w:p>
    <w:p w14:paraId="3674F780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-360" w:leftChars="0" w:right="0" w:rightChars="0" w:firstLine="600" w:firstLineChars="200"/>
        <w:jc w:val="left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</w:rPr>
      </w:pPr>
      <w:r>
        <w:rPr>
          <w:rStyle w:val="12"/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  <w:shd w:val="clear" w:fill="FFFFFF"/>
        </w:rPr>
        <w:t>数字化管理水平需进一步优化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  <w:shd w:val="clear" w:fill="FFFFFF"/>
        </w:rPr>
        <w:t>：项目实施及资金管理的台账目前以线下为主，数字化台账建设尚未完善，数据统计、分析的效率有待进一步提升。</w:t>
      </w:r>
    </w:p>
    <w:p w14:paraId="3231438F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  <w:shd w:val="clear" w:fill="FFFFFF"/>
        </w:rPr>
        <w:t>（三）改进措施和有关建议</w:t>
      </w:r>
    </w:p>
    <w:p w14:paraId="2ED96B47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right="0" w:firstLine="300" w:firstLineChars="100"/>
        <w:jc w:val="left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  <w:shd w:val="clear" w:fill="FFFFFF"/>
        </w:rPr>
        <w:t>1. 内部改进措施</w:t>
      </w:r>
    </w:p>
    <w:p w14:paraId="2BAC348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bidi w:val="0"/>
        <w:spacing w:before="0" w:beforeAutospacing="0" w:after="0" w:afterAutospacing="0" w:line="360" w:lineRule="atLeast"/>
        <w:ind w:right="0" w:firstLine="300" w:firstLineChars="100"/>
        <w:jc w:val="left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30"/>
          <w:szCs w:val="30"/>
          <w:shd w:val="clear" w:fill="FFFFFF"/>
          <w:lang w:val="en-US" w:eastAsia="zh-CN" w:bidi="ar"/>
        </w:rPr>
        <w:t>（1）提升预算编制前瞻性：建立学校</w:t>
      </w:r>
      <w:r>
        <w:rPr>
          <w:rStyle w:val="12"/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30"/>
          <w:szCs w:val="30"/>
          <w:shd w:val="clear" w:fill="FFFFFF"/>
          <w:lang w:val="en-US" w:eastAsia="zh-CN" w:bidi="ar"/>
        </w:rPr>
        <w:t>日常运营需求基础数据库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30"/>
          <w:szCs w:val="30"/>
          <w:shd w:val="clear" w:fill="FFFFFF"/>
          <w:lang w:val="en-US" w:eastAsia="zh-CN" w:bidi="ar"/>
        </w:rPr>
        <w:t>，整合历年项目执行数据、运营需求数据、突发事项记录，预算编制前开展全部门需求调研，充分考虑新增、突发需求，细化预算科目，提高预算编制的精准度和前瞻性，减少预算调整幅度。（2）完善绩效指标体系：构建 “基础指标 + 效能指标 + 长效指标”的多维绩效评价体系，新增物业服务群众满意度、校园设施完好率、综合事务办结效率、资金使用效益率等精细化指标，实现从“结果评价”向“过程 + 结果 + 效益” 的全方位评价转变（3）优化数字化管理水平：加快推进项目管理数字化建设，搭建线上台账管理平台，实现物业服务、零星维修、设备采购、资金支付等数据的线上录入、统计、分析，提升项目管理的信息化、智能化水平，提高工作效率。</w:t>
      </w:r>
    </w:p>
    <w:p w14:paraId="0BE23E8C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firstLine="600" w:firstLineChars="200"/>
        <w:jc w:val="left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  <w:shd w:val="clear" w:fill="FFFFFF"/>
        </w:rPr>
        <w:t>2. 有关建议</w:t>
      </w:r>
    </w:p>
    <w:p w14:paraId="653B04B4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bidi w:val="0"/>
        <w:spacing w:before="0" w:beforeAutospacing="0" w:after="0" w:afterAutospacing="0" w:line="360" w:lineRule="atLeast"/>
        <w:ind w:left="0" w:right="0" w:firstLine="300" w:firstLineChars="100"/>
        <w:jc w:val="left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30"/>
          <w:szCs w:val="30"/>
          <w:shd w:val="clear" w:fill="FFFFFF"/>
          <w:lang w:val="en-US" w:eastAsia="zh-CN" w:bidi="ar"/>
        </w:rPr>
        <w:t>（1）对主管部门的建议：建议海口市教育局定期组织义务教育学校开展综合事务管理、预算编制、绩效评价等方面的业务培训和经验交流，分享先进的管理模式和数字化建设案例，提升学校管理人员的专业能力；同时建立预算编制指导机制，为学校年度预算编制提供专业指导，提高预算编制的科学性。（2）政策层面的建议：建议上级部门结合义务教育学校办学运营成本的变化，建立校园日常运转经费的</w:t>
      </w:r>
      <w:r>
        <w:rPr>
          <w:rStyle w:val="12"/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30"/>
          <w:szCs w:val="30"/>
          <w:shd w:val="clear" w:fill="FFFFFF"/>
          <w:lang w:val="en-US" w:eastAsia="zh-CN" w:bidi="ar"/>
        </w:rPr>
        <w:t>动态调整机制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30"/>
          <w:szCs w:val="30"/>
          <w:shd w:val="clear" w:fill="FFFFFF"/>
          <w:lang w:val="en-US" w:eastAsia="zh-CN" w:bidi="ar"/>
        </w:rPr>
        <w:t>，根据物价水平、办学规模变化等因素，适时调整经费保障标准，确保学校日常运转经费与实际运营需求相匹配。</w:t>
      </w:r>
    </w:p>
    <w:p w14:paraId="13E36D28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firstLine="600" w:firstLineChars="200"/>
        <w:jc w:val="left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  <w:shd w:val="clear" w:fill="FFFFFF"/>
        </w:rPr>
        <w:t>六、自评结论</w:t>
      </w:r>
    </w:p>
    <w:p w14:paraId="52456F07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bidi w:val="0"/>
        <w:spacing w:before="0" w:beforeAutospacing="0" w:after="0" w:afterAutospacing="0" w:line="360" w:lineRule="atLeast"/>
        <w:ind w:left="0" w:right="0" w:firstLine="600" w:firstLineChars="200"/>
        <w:jc w:val="left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30"/>
          <w:szCs w:val="30"/>
          <w:shd w:val="clear" w:fill="FFFFFF"/>
          <w:lang w:val="en-US" w:eastAsia="zh-CN" w:bidi="ar"/>
        </w:rPr>
        <w:t>2025年度海口市五源河学校综合事务项目，严格按照上级主管部门要求及学校管理制度推进实施，项目决策科学合规、资金使用规范高效、组织实施有序可控、绩效目标全面达成，资金使用效益充分发挥，有效保障了学校物业服务落地和日常工作有序开展，为学校教育教学工作的顺利推进提供了坚实的运转保障。本次项目绩效自评综合得分为</w:t>
      </w:r>
      <w:r>
        <w:rPr>
          <w:rStyle w:val="12"/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30"/>
          <w:szCs w:val="30"/>
          <w:shd w:val="clear" w:fill="FFFFFF"/>
          <w:lang w:val="en-US" w:eastAsia="zh-CN" w:bidi="ar"/>
        </w:rPr>
        <w:t>100分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30"/>
          <w:szCs w:val="30"/>
          <w:shd w:val="clear" w:fill="FFFFFF"/>
          <w:lang w:val="en-US" w:eastAsia="zh-CN" w:bidi="ar"/>
        </w:rPr>
        <w:t>，自评结论为</w:t>
      </w:r>
      <w:r>
        <w:rPr>
          <w:rStyle w:val="12"/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30"/>
          <w:szCs w:val="30"/>
          <w:shd w:val="clear" w:fill="FFFFFF"/>
          <w:lang w:val="en-US" w:eastAsia="zh-CN" w:bidi="ar"/>
        </w:rPr>
        <w:t>优秀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30"/>
          <w:szCs w:val="30"/>
          <w:shd w:val="clear" w:fill="FFFFFF"/>
          <w:lang w:val="en-US" w:eastAsia="zh-CN" w:bidi="ar"/>
        </w:rPr>
        <w:t>。</w:t>
      </w:r>
    </w:p>
    <w:p w14:paraId="7740DF19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bidi w:val="0"/>
        <w:spacing w:before="0" w:beforeAutospacing="0" w:after="0" w:afterAutospacing="0" w:line="360" w:lineRule="atLeast"/>
        <w:ind w:left="0" w:right="0"/>
        <w:jc w:val="left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30"/>
          <w:szCs w:val="30"/>
          <w:shd w:val="clear" w:fill="FFFFFF"/>
          <w:lang w:val="en-US" w:eastAsia="zh-CN" w:bidi="ar"/>
        </w:rPr>
        <w:t>今后，学校将以此次自评为契机，总结管理经验，针对存在的问题及时整改优化，持续完善项目管理制度和绩效指标体系，提升预算编制和数字化管理水平，进一步强化资金使用精细化管控，推动项目管理效能持续提升，确保综合事务项目能够长期、高效为学校义务教育办学运营提供稳定支撑。</w:t>
      </w:r>
    </w:p>
    <w:p w14:paraId="39C08474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bidi w:val="0"/>
        <w:spacing w:before="0" w:beforeAutospacing="0" w:after="0" w:afterAutospacing="0" w:line="360" w:lineRule="atLeast"/>
        <w:ind w:left="0" w:right="0"/>
        <w:jc w:val="left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30"/>
          <w:szCs w:val="30"/>
          <w:shd w:val="clear" w:fill="FFFFFF"/>
          <w:lang w:val="en-US" w:eastAsia="zh-CN" w:bidi="ar"/>
        </w:rPr>
      </w:pPr>
    </w:p>
    <w:p w14:paraId="7543D9B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bidi w:val="0"/>
        <w:spacing w:before="0" w:beforeAutospacing="0" w:after="0" w:afterAutospacing="0" w:line="360" w:lineRule="atLeast"/>
        <w:ind w:left="0" w:right="0"/>
        <w:jc w:val="left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30"/>
          <w:szCs w:val="30"/>
          <w:shd w:val="clear" w:fill="FFFFFF"/>
          <w:lang w:val="en-US" w:eastAsia="zh-CN" w:bidi="ar"/>
        </w:rPr>
      </w:pPr>
    </w:p>
    <w:p w14:paraId="1806477D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bidi w:val="0"/>
        <w:spacing w:before="0" w:beforeAutospacing="0" w:after="0" w:afterAutospacing="0" w:line="360" w:lineRule="atLeast"/>
        <w:ind w:left="0" w:right="0" w:firstLine="4500" w:firstLineChars="1500"/>
        <w:jc w:val="left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30"/>
          <w:szCs w:val="30"/>
          <w:shd w:val="clear" w:fill="FFFFFF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30"/>
          <w:szCs w:val="30"/>
          <w:shd w:val="clear" w:fill="FFFFFF"/>
          <w:lang w:val="en-US" w:eastAsia="zh-CN" w:bidi="ar"/>
        </w:rPr>
        <w:t>海口市五源河学校</w:t>
      </w:r>
    </w:p>
    <w:p w14:paraId="3AF8E117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bidi w:val="0"/>
        <w:spacing w:before="0" w:beforeAutospacing="0" w:after="0" w:afterAutospacing="0" w:line="360" w:lineRule="atLeast"/>
        <w:ind w:right="0" w:firstLine="4500" w:firstLineChars="1500"/>
        <w:jc w:val="left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0"/>
          <w:szCs w:val="30"/>
        </w:rPr>
      </w:pP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30"/>
          <w:szCs w:val="30"/>
          <w:shd w:val="clear" w:fill="FFFFFF"/>
          <w:lang w:val="en-US" w:eastAsia="zh-CN" w:bidi="ar"/>
        </w:rPr>
        <w:t>202</w:t>
      </w:r>
      <w:r>
        <w:rPr>
          <w:rFonts w:hint="eastAsia" w:cstheme="minorEastAsia"/>
          <w:b w:val="0"/>
          <w:bCs w:val="0"/>
          <w:color w:val="000000"/>
          <w:kern w:val="0"/>
          <w:sz w:val="30"/>
          <w:szCs w:val="30"/>
          <w:shd w:val="clear" w:fill="FFFFFF"/>
          <w:lang w:val="en-US" w:eastAsia="zh-CN" w:bidi="ar"/>
        </w:rPr>
        <w:t>6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30"/>
          <w:szCs w:val="30"/>
          <w:shd w:val="clear" w:fill="FFFFFF"/>
          <w:lang w:val="en-US" w:eastAsia="zh-CN" w:bidi="ar"/>
        </w:rPr>
        <w:t xml:space="preserve">年 </w:t>
      </w:r>
      <w:r>
        <w:rPr>
          <w:rFonts w:hint="eastAsia" w:cstheme="minorEastAsia"/>
          <w:b w:val="0"/>
          <w:bCs w:val="0"/>
          <w:color w:val="000000"/>
          <w:kern w:val="0"/>
          <w:sz w:val="30"/>
          <w:szCs w:val="30"/>
          <w:shd w:val="clear" w:fill="FFFFFF"/>
          <w:lang w:val="en-US" w:eastAsia="zh-CN" w:bidi="ar"/>
        </w:rPr>
        <w:t>3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30"/>
          <w:szCs w:val="30"/>
          <w:shd w:val="clear" w:fill="FFFFFF"/>
          <w:lang w:val="en-US" w:eastAsia="zh-CN" w:bidi="ar"/>
        </w:rPr>
        <w:t xml:space="preserve"> 月 </w:t>
      </w:r>
      <w:r>
        <w:rPr>
          <w:rFonts w:hint="eastAsia" w:cstheme="minorEastAsia"/>
          <w:b w:val="0"/>
          <w:bCs w:val="0"/>
          <w:color w:val="000000"/>
          <w:kern w:val="0"/>
          <w:sz w:val="30"/>
          <w:szCs w:val="30"/>
          <w:shd w:val="clear" w:fill="FFFFFF"/>
          <w:lang w:val="en-US" w:eastAsia="zh-CN" w:bidi="ar"/>
        </w:rPr>
        <w:t>6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30"/>
          <w:szCs w:val="30"/>
          <w:shd w:val="clear" w:fill="FFFFFF"/>
          <w:lang w:val="en-US" w:eastAsia="zh-CN" w:bidi="ar"/>
        </w:rPr>
        <w:t xml:space="preserve"> 日</w:t>
      </w:r>
    </w:p>
    <w:p w14:paraId="69A1737C">
      <w:pPr>
        <w:pStyle w:val="9"/>
        <w:keepNext w:val="0"/>
        <w:keepLines w:val="0"/>
        <w:widowControl/>
        <w:suppressLineNumbers w:val="0"/>
        <w:spacing w:line="525" w:lineRule="atLeast"/>
        <w:ind w:left="0" w:firstLine="645"/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 xml:space="preserve">  </w:t>
      </w:r>
    </w:p>
    <w:p w14:paraId="186CE1FA">
      <w:pPr>
        <w:pStyle w:val="9"/>
        <w:keepNext w:val="0"/>
        <w:keepLines w:val="0"/>
        <w:widowControl/>
        <w:suppressLineNumbers w:val="0"/>
        <w:spacing w:line="525" w:lineRule="atLeast"/>
        <w:ind w:left="0" w:firstLine="645"/>
      </w:pPr>
      <w:r>
        <w:rPr>
          <w:rFonts w:hint="eastAsia" w:ascii="仿宋_GB2312" w:eastAsia="仿宋_GB2312" w:cs="仿宋_GB2312"/>
          <w:sz w:val="31"/>
          <w:szCs w:val="31"/>
        </w:rPr>
        <w:t xml:space="preserve">  </w:t>
      </w:r>
    </w:p>
    <w:p w14:paraId="2BC7A30E">
      <w:pPr>
        <w:pStyle w:val="9"/>
        <w:keepNext w:val="0"/>
        <w:keepLines w:val="0"/>
        <w:widowControl/>
        <w:suppressLineNumbers w:val="0"/>
        <w:spacing w:line="525" w:lineRule="atLeast"/>
        <w:ind w:left="0" w:firstLine="645"/>
      </w:pPr>
      <w:r>
        <w:rPr>
          <w:rFonts w:hint="eastAsia" w:ascii="仿宋_GB2312" w:eastAsia="仿宋_GB2312" w:cs="仿宋_GB2312"/>
          <w:sz w:val="31"/>
          <w:szCs w:val="31"/>
        </w:rPr>
        <w:t>  </w:t>
      </w:r>
    </w:p>
    <w:p w14:paraId="4F68D248">
      <w:pPr>
        <w:pStyle w:val="9"/>
        <w:keepNext w:val="0"/>
        <w:keepLines w:val="0"/>
        <w:widowControl/>
        <w:suppressLineNumbers w:val="0"/>
      </w:pPr>
    </w:p>
    <w:sectPr>
      <w:pgSz w:w="11906" w:h="16839"/>
      <w:pgMar w:top="1440" w:right="1800" w:bottom="1440" w:left="1800" w:header="851" w:footer="992" w:gutter="0"/>
      <w:cols w:space="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7BB502E"/>
    <w:multiLevelType w:val="multilevel"/>
    <w:tmpl w:val="B7BB502E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D26295"/>
    <w:rsid w:val="1AF76BD7"/>
    <w:rsid w:val="3FA01932"/>
    <w:rsid w:val="7F86335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left"/>
    </w:pPr>
    <w:rPr>
      <w:rFonts w:asciiTheme="minorEastAsia" w:hAnsiTheme="minorEastAsia" w:eastAsiaTheme="minorEastAsia" w:cstheme="minorEastAsia"/>
      <w:kern w:val="0"/>
      <w:sz w:val="24"/>
      <w:szCs w:val="24"/>
      <w:lang w:val="en-US" w:eastAsia="zh-CN" w:bidi="ar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4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5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paragraph" w:styleId="6">
    <w:name w:val="heading 5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0"/>
      <w:szCs w:val="20"/>
      <w:lang w:val="en-US" w:eastAsia="zh-CN" w:bidi="ar"/>
    </w:rPr>
  </w:style>
  <w:style w:type="paragraph" w:styleId="7">
    <w:name w:val="heading 6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15"/>
      <w:szCs w:val="15"/>
      <w:lang w:val="en-US" w:eastAsia="zh-CN" w:bidi="ar"/>
    </w:rPr>
  </w:style>
  <w:style w:type="character" w:default="1" w:styleId="11">
    <w:name w:val="Default Paragraph Font"/>
    <w:semiHidden/>
    <w:uiPriority w:val="0"/>
  </w:style>
  <w:style w:type="table" w:default="1" w:styleId="10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HTML Preformatted"/>
    <w:basedOn w:val="1"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9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12">
    <w:name w:val="Strong"/>
    <w:basedOn w:val="11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8</Pages>
  <Words>5345</Words>
  <Characters>5549</Characters>
  <TotalTime>12</TotalTime>
  <ScaleCrop>false</ScaleCrop>
  <LinksUpToDate>false</LinksUpToDate>
  <CharactersWithSpaces>5655</CharactersWithSpaces>
  <Application>WPS Office_12.1.0.25225_F1E327BC-269C-435d-A152-05C5408002CA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2026-03-02T02:18:00Z</dcterms:created>
  <dc:creator>Administrator</dc:creator>
  <cp:lastModifiedBy>爱，不需言语</cp:lastModifiedBy>
  <dcterms:modified xsi:type="dcterms:W3CDTF">2026-03-06T03:04:10Z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8C88B5A7FC87435682EC16ED511FCD97_13</vt:lpwstr>
  </property>
  <property fmtid="{D5CDD505-2E9C-101B-9397-08002B2CF9AE}" pid="4" name="KSOTemplateDocerSaveRecord">
    <vt:lpwstr>eyJoZGlkIjoiZGRmMGIzYWZlYTg0ZTZjNGM1MzZkYWNhNGZmZjU3ZjMiLCJ1c2VySWQiOiI0MzMwNjAyNTQifQ==</vt:lpwstr>
  </property>
</Properties>
</file>