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99834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32"/>
          <w:szCs w:val="32"/>
        </w:rPr>
      </w:pPr>
      <w:r>
        <w:rPr>
          <w:color w:val="000000"/>
          <w:sz w:val="32"/>
          <w:szCs w:val="32"/>
          <w:bdr w:val="none" w:color="auto" w:sz="0" w:space="0"/>
        </w:rPr>
        <w:t>海口市五源河学校教育教学管理项目支出绩效自评报告</w:t>
      </w:r>
    </w:p>
    <w:p w14:paraId="577A90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评价年度</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：2025年</w:t>
      </w:r>
    </w:p>
    <w:p w14:paraId="73E3D4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预算单位</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：海口市五源河学校</w:t>
      </w:r>
    </w:p>
    <w:p w14:paraId="7C6A9A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主管部门</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：海口市教育局</w:t>
      </w:r>
    </w:p>
    <w:p w14:paraId="4FA203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项目负责人</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：林春燕</w:t>
      </w:r>
    </w:p>
    <w:p w14:paraId="0CECB2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填报人</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：刘含云</w:t>
      </w:r>
    </w:p>
    <w:p w14:paraId="69C778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项目类别</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：部门项目</w:t>
      </w:r>
    </w:p>
    <w:p w14:paraId="2D9921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一、项目概况</w:t>
      </w:r>
    </w:p>
    <w:p w14:paraId="147DD6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（一）项目基本情况</w:t>
      </w:r>
    </w:p>
    <w:p w14:paraId="18BBFF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本项目为海口市五源河学校教育教学核心保障类部门项目，资金由</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财政资金</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和</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单位自有资金</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共同构成，无财政专户管理资金。项目核心围绕义务教育阶段教育教学提质增效开展，专项用于学校课后服务任务实施、课后服务教师劳务费及时足额发放，同时保障教师研学、学生研学旅行等教育教学拓展活动开展，是落实 “双减” 政策要求、丰富教育教学形式、保障课后服务落地、激发教师教学积极性的关键项目，直接支撑学校教育教学管理工作有序开展，助力学生全面发展和教师专业能力提升。</w:t>
      </w:r>
    </w:p>
    <w:p w14:paraId="1B585D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（二）项目年度预算绩效目标和绩效指标设定情况</w:t>
      </w:r>
    </w:p>
    <w:p w14:paraId="06CA34EC">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总体绩效目标</w:t>
      </w:r>
      <w:r>
        <w:rPr>
          <w:rFonts w:hint="eastAsia" w:asciiTheme="minorEastAsia" w:hAnsiTheme="minorEastAsia" w:eastAsiaTheme="minorEastAsia" w:cstheme="minorEastAsia"/>
          <w:b w:val="0"/>
          <w:bCs w:val="0"/>
          <w:color w:val="000000"/>
          <w:sz w:val="30"/>
          <w:szCs w:val="30"/>
          <w:bdr w:val="none" w:color="auto" w:sz="0" w:space="0"/>
        </w:rPr>
        <w:t>：严格落实“双减”政策，高效完成课后服务任务，实现有需求学生全覆盖保障；及时、足额发放教师课后服务劳务费，保障教师研学、学生研学旅行等教育教学拓展活动开展，丰富教育教学内容，提升教育教学管理水平，确保学校教育教学工作高质量推进。</w:t>
      </w:r>
    </w:p>
    <w:p w14:paraId="185B33B2">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2025年度绩效目标</w:t>
      </w:r>
      <w:r>
        <w:rPr>
          <w:rFonts w:hint="eastAsia" w:asciiTheme="minorEastAsia" w:hAnsiTheme="minorEastAsia" w:eastAsiaTheme="minorEastAsia" w:cstheme="minorEastAsia"/>
          <w:b w:val="0"/>
          <w:bCs w:val="0"/>
          <w:color w:val="000000"/>
          <w:sz w:val="30"/>
          <w:szCs w:val="30"/>
          <w:bdr w:val="none" w:color="auto" w:sz="0" w:space="0"/>
        </w:rPr>
        <w:t>：与总体目标高度契合，精准保障课后服务、研学活动等经费需求，足额发放课后服务劳务费，实现课后服务、研学活动参与人数达标，师生及家长满意度提升，全面完成年度教育教学管理各项工作任务。</w:t>
      </w:r>
    </w:p>
    <w:p w14:paraId="4D68FB0D">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绩效指标体系</w:t>
      </w:r>
      <w:r>
        <w:rPr>
          <w:rFonts w:hint="eastAsia" w:asciiTheme="minorEastAsia" w:hAnsiTheme="minorEastAsia" w:eastAsiaTheme="minorEastAsia" w:cstheme="minorEastAsia"/>
          <w:b w:val="0"/>
          <w:bCs w:val="0"/>
          <w:color w:val="000000"/>
          <w:sz w:val="30"/>
          <w:szCs w:val="30"/>
          <w:bdr w:val="none" w:color="auto" w:sz="0" w:space="0"/>
        </w:rPr>
        <w:t>：围绕</w:t>
      </w:r>
      <w:r>
        <w:rPr>
          <w:rStyle w:val="12"/>
          <w:rFonts w:hint="eastAsia" w:asciiTheme="minorEastAsia" w:hAnsiTheme="minorEastAsia" w:eastAsiaTheme="minorEastAsia" w:cstheme="minorEastAsia"/>
          <w:b w:val="0"/>
          <w:bCs w:val="0"/>
          <w:color w:val="000000"/>
          <w:sz w:val="30"/>
          <w:szCs w:val="30"/>
          <w:bdr w:val="none" w:color="auto" w:sz="0" w:space="0"/>
        </w:rPr>
        <w:t>产出、效益、满意度</w:t>
      </w:r>
      <w:r>
        <w:rPr>
          <w:rFonts w:hint="eastAsia" w:asciiTheme="minorEastAsia" w:hAnsiTheme="minorEastAsia" w:eastAsiaTheme="minorEastAsia" w:cstheme="minorEastAsia"/>
          <w:b w:val="0"/>
          <w:bCs w:val="0"/>
          <w:color w:val="000000"/>
          <w:sz w:val="30"/>
          <w:szCs w:val="30"/>
          <w:bdr w:val="none" w:color="auto" w:sz="0" w:space="0"/>
        </w:rPr>
        <w:t>三大维度构建量化与定性相结合的</w:t>
      </w:r>
      <w:r>
        <w:rPr>
          <w:rStyle w:val="12"/>
          <w:rFonts w:hint="eastAsia" w:asciiTheme="minorEastAsia" w:hAnsiTheme="minorEastAsia" w:eastAsiaTheme="minorEastAsia" w:cstheme="minorEastAsia"/>
          <w:b w:val="0"/>
          <w:bCs w:val="0"/>
          <w:color w:val="000000"/>
          <w:sz w:val="30"/>
          <w:szCs w:val="30"/>
          <w:bdr w:val="none" w:color="auto" w:sz="0" w:space="0"/>
        </w:rPr>
        <w:t>一级 - 二级 - 三级</w:t>
      </w:r>
      <w:r>
        <w:rPr>
          <w:rFonts w:hint="eastAsia" w:asciiTheme="minorEastAsia" w:hAnsiTheme="minorEastAsia" w:eastAsiaTheme="minorEastAsia" w:cstheme="minorEastAsia"/>
          <w:b w:val="0"/>
          <w:bCs w:val="0"/>
          <w:color w:val="000000"/>
          <w:sz w:val="30"/>
          <w:szCs w:val="30"/>
          <w:bdr w:val="none" w:color="auto" w:sz="0" w:space="0"/>
        </w:rPr>
        <w:t>绩效指标体系，明确指标值、度量单位及评价标准，实现项目绩效可衡量、可考核，核心指标如下：</w:t>
      </w:r>
    </w:p>
    <w:p w14:paraId="1DBA9EC5">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产出数量指标：参加课后服务教师≥400人、参加课后服务学生≥3000人、教师研学≥150人次、学生研学旅行≥2000人；</w:t>
      </w:r>
    </w:p>
    <w:p w14:paraId="4926433B">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效益社会效益指标：师生研学活动参与度≥98%、学生学业水平实现提高；</w:t>
      </w:r>
    </w:p>
    <w:p w14:paraId="3D7D922E">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满意度指标：家长及师生满意度≥98%。</w:t>
      </w:r>
    </w:p>
    <w:p w14:paraId="73C8A766">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2025年度目标完成情况</w:t>
      </w:r>
      <w:r>
        <w:rPr>
          <w:rFonts w:hint="eastAsia" w:asciiTheme="minorEastAsia" w:hAnsiTheme="minorEastAsia" w:eastAsiaTheme="minorEastAsia" w:cstheme="minorEastAsia"/>
          <w:b w:val="0"/>
          <w:bCs w:val="0"/>
          <w:color w:val="000000"/>
          <w:sz w:val="30"/>
          <w:szCs w:val="30"/>
          <w:bdr w:val="none" w:color="auto" w:sz="0" w:space="0"/>
        </w:rPr>
        <w:t>：本项目2025年度所有绩效指标均超额或达标完成，课后服务、研学活动高效开展，劳务费足额及时发放，师生及家长满意度达100%，项目自评综合得分99.99分，绩效成效显著。</w:t>
      </w:r>
    </w:p>
    <w:p w14:paraId="188848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二、项目决策及资金使用管理情况</w:t>
      </w:r>
    </w:p>
    <w:p w14:paraId="455259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300" w:firstLineChars="1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（一）项目决策情况</w:t>
      </w:r>
    </w:p>
    <w:p w14:paraId="474E89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本项目决策严格遵循</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政策导向、需求导向、科学测算、集体审议</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原则，确保立项及资金安排贴合学校教育教学实际和政策要求。项目立项前，由学校教务处、德育处、财务科联合开展需求摸排，精准统计课后服务学生及教师需求、研学活动参与计划，结合劳务费发放标准、活动开展成本开展资金需求精细化测算；项目资金使用方案经学校领导班子集体研讨、审议通过后，按规定向主管部门海口市教育局报备。决策过程充分结合 “双减” 政策要求和学校办学实际，依据充分、流程合规，测算数据精准，确保项目决策能够有效支撑教育教学管理工作高质量开展。</w:t>
      </w:r>
    </w:p>
    <w:p w14:paraId="600A35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（二）项目资金安排落实、总投入情况</w:t>
      </w:r>
    </w:p>
    <w:p w14:paraId="041A5F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本项目资金由财政资金和单位资金共同保障，全年预算较年初预算调减 350000.07元，系根据 2025年度课后服务、研学活动实际开展计划进行的精准优化，剔除冗余预算，资金安排与项目实际实施需求高度匹配，无资金闲置冗余情况，具体预算落实情况如下表：</w:t>
      </w:r>
    </w:p>
    <w:tbl>
      <w:tblPr>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89"/>
        <w:gridCol w:w="1897"/>
        <w:gridCol w:w="2075"/>
        <w:gridCol w:w="2015"/>
        <w:gridCol w:w="1490"/>
      </w:tblGrid>
      <w:tr w14:paraId="55FB1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blCellSpacing w:w="15" w:type="dxa"/>
        </w:trPr>
        <w:tc>
          <w:tcPr>
            <w:tcW w:w="0" w:type="auto"/>
            <w:shd w:val="clear"/>
            <w:vAlign w:val="center"/>
          </w:tcPr>
          <w:p w14:paraId="23C8108B">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资金类型</w:t>
            </w:r>
          </w:p>
        </w:tc>
        <w:tc>
          <w:tcPr>
            <w:tcW w:w="0" w:type="auto"/>
            <w:shd w:val="clear"/>
            <w:vAlign w:val="center"/>
          </w:tcPr>
          <w:p w14:paraId="3757C446">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年初预算数（元）</w:t>
            </w:r>
          </w:p>
        </w:tc>
        <w:tc>
          <w:tcPr>
            <w:tcW w:w="0" w:type="auto"/>
            <w:shd w:val="clear"/>
            <w:vAlign w:val="center"/>
          </w:tcPr>
          <w:p w14:paraId="3EECCEAB">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全年预算数（元）</w:t>
            </w:r>
          </w:p>
        </w:tc>
        <w:tc>
          <w:tcPr>
            <w:tcW w:w="0" w:type="auto"/>
            <w:shd w:val="clear"/>
            <w:vAlign w:val="center"/>
          </w:tcPr>
          <w:p w14:paraId="2D9A556D">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预算调整额（元）</w:t>
            </w:r>
          </w:p>
        </w:tc>
        <w:tc>
          <w:tcPr>
            <w:tcW w:w="0" w:type="auto"/>
            <w:shd w:val="clear"/>
            <w:vAlign w:val="center"/>
          </w:tcPr>
          <w:p w14:paraId="68197F12">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预算调整幅度</w:t>
            </w:r>
          </w:p>
        </w:tc>
      </w:tr>
      <w:tr w14:paraId="6F10E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15" w:type="dxa"/>
        </w:trPr>
        <w:tc>
          <w:tcPr>
            <w:tcW w:w="0" w:type="auto"/>
            <w:shd w:val="clear"/>
            <w:vAlign w:val="center"/>
          </w:tcPr>
          <w:p w14:paraId="29E233EF">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财政资金</w:t>
            </w:r>
          </w:p>
        </w:tc>
        <w:tc>
          <w:tcPr>
            <w:tcW w:w="0" w:type="auto"/>
            <w:shd w:val="clear"/>
            <w:vAlign w:val="center"/>
          </w:tcPr>
          <w:p w14:paraId="4BE5CE33">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2504600</w:t>
            </w:r>
          </w:p>
        </w:tc>
        <w:tc>
          <w:tcPr>
            <w:tcW w:w="0" w:type="auto"/>
            <w:shd w:val="clear"/>
            <w:vAlign w:val="center"/>
          </w:tcPr>
          <w:p w14:paraId="02980A0E">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2154599.93</w:t>
            </w:r>
          </w:p>
        </w:tc>
        <w:tc>
          <w:tcPr>
            <w:tcW w:w="0" w:type="auto"/>
            <w:shd w:val="clear"/>
            <w:vAlign w:val="center"/>
          </w:tcPr>
          <w:p w14:paraId="1A6B9997">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-350000.07</w:t>
            </w:r>
          </w:p>
        </w:tc>
        <w:tc>
          <w:tcPr>
            <w:tcW w:w="0" w:type="auto"/>
            <w:shd w:val="clear"/>
            <w:vAlign w:val="center"/>
          </w:tcPr>
          <w:p w14:paraId="26BBBCA1">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≈-13.97%</w:t>
            </w:r>
          </w:p>
        </w:tc>
      </w:tr>
      <w:tr w14:paraId="331CA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15" w:type="dxa"/>
        </w:trPr>
        <w:tc>
          <w:tcPr>
            <w:tcW w:w="0" w:type="auto"/>
            <w:shd w:val="clear"/>
            <w:vAlign w:val="center"/>
          </w:tcPr>
          <w:p w14:paraId="51FB8A09">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单位资金</w:t>
            </w:r>
          </w:p>
        </w:tc>
        <w:tc>
          <w:tcPr>
            <w:tcW w:w="0" w:type="auto"/>
            <w:shd w:val="clear"/>
            <w:vAlign w:val="center"/>
          </w:tcPr>
          <w:p w14:paraId="0D170FDC">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3300000</w:t>
            </w:r>
          </w:p>
        </w:tc>
        <w:tc>
          <w:tcPr>
            <w:tcW w:w="0" w:type="auto"/>
            <w:shd w:val="clear"/>
            <w:vAlign w:val="center"/>
          </w:tcPr>
          <w:p w14:paraId="641525A3">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3300000</w:t>
            </w:r>
          </w:p>
        </w:tc>
        <w:tc>
          <w:tcPr>
            <w:tcW w:w="0" w:type="auto"/>
            <w:shd w:val="clear"/>
            <w:vAlign w:val="center"/>
          </w:tcPr>
          <w:p w14:paraId="1A8ABC11">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0</w:t>
            </w:r>
          </w:p>
        </w:tc>
        <w:tc>
          <w:tcPr>
            <w:tcW w:w="0" w:type="auto"/>
            <w:shd w:val="clear"/>
            <w:vAlign w:val="center"/>
          </w:tcPr>
          <w:p w14:paraId="573483AF">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w:t>
            </w:r>
          </w:p>
        </w:tc>
      </w:tr>
      <w:tr w14:paraId="2EC8A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15" w:type="dxa"/>
        </w:trPr>
        <w:tc>
          <w:tcPr>
            <w:tcW w:w="0" w:type="auto"/>
            <w:shd w:val="clear"/>
            <w:vAlign w:val="center"/>
          </w:tcPr>
          <w:p w14:paraId="16494EB5">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资金总额</w:t>
            </w:r>
          </w:p>
        </w:tc>
        <w:tc>
          <w:tcPr>
            <w:tcW w:w="0" w:type="auto"/>
            <w:shd w:val="clear"/>
            <w:vAlign w:val="center"/>
          </w:tcPr>
          <w:p w14:paraId="430E3800">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5804600</w:t>
            </w:r>
          </w:p>
        </w:tc>
        <w:tc>
          <w:tcPr>
            <w:tcW w:w="0" w:type="auto"/>
            <w:shd w:val="clear"/>
            <w:vAlign w:val="center"/>
          </w:tcPr>
          <w:p w14:paraId="4881B3A9">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5454599.93</w:t>
            </w:r>
          </w:p>
        </w:tc>
        <w:tc>
          <w:tcPr>
            <w:tcW w:w="0" w:type="auto"/>
            <w:shd w:val="clear"/>
            <w:vAlign w:val="center"/>
          </w:tcPr>
          <w:p w14:paraId="6BBE0900">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-350000.07</w:t>
            </w:r>
          </w:p>
        </w:tc>
        <w:tc>
          <w:tcPr>
            <w:tcW w:w="0" w:type="auto"/>
            <w:shd w:val="clear"/>
            <w:vAlign w:val="center"/>
          </w:tcPr>
          <w:p w14:paraId="47624E6F">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≈-6.03%</w:t>
            </w:r>
          </w:p>
        </w:tc>
      </w:tr>
    </w:tbl>
    <w:p w14:paraId="675AED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（三）项目资金实际使用情况</w:t>
      </w:r>
    </w:p>
    <w:p w14:paraId="568246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项目资金严格按照预算用途专款专用，全部用于课后服务实施、课后服务教师劳务费发放、师生研学活动开展等教育教学管理相关工作，无挤占、挪用、截留、超范围使用等违规情况。资金全年执行数5451501.74元，整体执行率99.94%，其财政资金执行率99.96%、单位资金执行率99.93%，未执行资金均为部分活动尾款按财务流程延后支付，属于合理未付资金，无资金闲置、沉淀问题，具体执行情况如下表：</w:t>
      </w:r>
    </w:p>
    <w:tbl>
      <w:tblPr>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997"/>
        <w:gridCol w:w="2182"/>
        <w:gridCol w:w="2182"/>
        <w:gridCol w:w="930"/>
        <w:gridCol w:w="2075"/>
      </w:tblGrid>
      <w:tr w14:paraId="06F86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blCellSpacing w:w="15" w:type="dxa"/>
        </w:trPr>
        <w:tc>
          <w:tcPr>
            <w:tcW w:w="0" w:type="auto"/>
            <w:shd w:val="clear"/>
            <w:vAlign w:val="center"/>
          </w:tcPr>
          <w:p w14:paraId="056C7A9E">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资金类型</w:t>
            </w:r>
          </w:p>
        </w:tc>
        <w:tc>
          <w:tcPr>
            <w:tcW w:w="0" w:type="auto"/>
            <w:shd w:val="clear"/>
            <w:vAlign w:val="center"/>
          </w:tcPr>
          <w:p w14:paraId="487FAA71">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全年预算数（元）</w:t>
            </w:r>
          </w:p>
        </w:tc>
        <w:tc>
          <w:tcPr>
            <w:tcW w:w="0" w:type="auto"/>
            <w:shd w:val="clear"/>
            <w:vAlign w:val="center"/>
          </w:tcPr>
          <w:p w14:paraId="3B39876F">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全年执行数（元）</w:t>
            </w:r>
          </w:p>
        </w:tc>
        <w:tc>
          <w:tcPr>
            <w:tcW w:w="0" w:type="auto"/>
            <w:shd w:val="clear"/>
            <w:vAlign w:val="center"/>
          </w:tcPr>
          <w:p w14:paraId="70FAB7C0">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执行率</w:t>
            </w:r>
          </w:p>
        </w:tc>
        <w:tc>
          <w:tcPr>
            <w:tcW w:w="0" w:type="auto"/>
            <w:shd w:val="clear"/>
            <w:vAlign w:val="center"/>
          </w:tcPr>
          <w:p w14:paraId="5E11958A">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未执行金额（元）</w:t>
            </w:r>
          </w:p>
        </w:tc>
      </w:tr>
      <w:tr w14:paraId="60350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15" w:type="dxa"/>
        </w:trPr>
        <w:tc>
          <w:tcPr>
            <w:tcW w:w="0" w:type="auto"/>
            <w:shd w:val="clear"/>
            <w:vAlign w:val="center"/>
          </w:tcPr>
          <w:p w14:paraId="773010F6">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财政资金</w:t>
            </w:r>
          </w:p>
        </w:tc>
        <w:tc>
          <w:tcPr>
            <w:tcW w:w="0" w:type="auto"/>
            <w:shd w:val="clear"/>
            <w:vAlign w:val="center"/>
          </w:tcPr>
          <w:p w14:paraId="1D2D9360">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2154599.93</w:t>
            </w:r>
          </w:p>
        </w:tc>
        <w:tc>
          <w:tcPr>
            <w:tcW w:w="0" w:type="auto"/>
            <w:shd w:val="clear"/>
            <w:vAlign w:val="center"/>
          </w:tcPr>
          <w:p w14:paraId="5C41A644">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2153792.79</w:t>
            </w:r>
          </w:p>
        </w:tc>
        <w:tc>
          <w:tcPr>
            <w:tcW w:w="0" w:type="auto"/>
            <w:shd w:val="clear"/>
            <w:vAlign w:val="center"/>
          </w:tcPr>
          <w:p w14:paraId="2637ABED">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99.96%</w:t>
            </w:r>
          </w:p>
        </w:tc>
        <w:tc>
          <w:tcPr>
            <w:tcW w:w="0" w:type="auto"/>
            <w:shd w:val="clear"/>
            <w:vAlign w:val="center"/>
          </w:tcPr>
          <w:p w14:paraId="350D4032">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807.14</w:t>
            </w:r>
          </w:p>
        </w:tc>
      </w:tr>
      <w:tr w14:paraId="3F182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15" w:type="dxa"/>
        </w:trPr>
        <w:tc>
          <w:tcPr>
            <w:tcW w:w="0" w:type="auto"/>
            <w:shd w:val="clear"/>
            <w:vAlign w:val="center"/>
          </w:tcPr>
          <w:p w14:paraId="62F0ED8C">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单位资金</w:t>
            </w:r>
          </w:p>
        </w:tc>
        <w:tc>
          <w:tcPr>
            <w:tcW w:w="0" w:type="auto"/>
            <w:shd w:val="clear"/>
            <w:vAlign w:val="center"/>
          </w:tcPr>
          <w:p w14:paraId="4B29FDB2">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3300000</w:t>
            </w:r>
          </w:p>
        </w:tc>
        <w:tc>
          <w:tcPr>
            <w:tcW w:w="0" w:type="auto"/>
            <w:shd w:val="clear"/>
            <w:vAlign w:val="center"/>
          </w:tcPr>
          <w:p w14:paraId="4C607AC5">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3297708.95</w:t>
            </w:r>
          </w:p>
        </w:tc>
        <w:tc>
          <w:tcPr>
            <w:tcW w:w="0" w:type="auto"/>
            <w:shd w:val="clear"/>
            <w:vAlign w:val="center"/>
          </w:tcPr>
          <w:p w14:paraId="3D7D030A">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99.93%</w:t>
            </w:r>
          </w:p>
        </w:tc>
        <w:tc>
          <w:tcPr>
            <w:tcW w:w="0" w:type="auto"/>
            <w:shd w:val="clear"/>
            <w:vAlign w:val="center"/>
          </w:tcPr>
          <w:p w14:paraId="4540F0C0">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2291.05</w:t>
            </w:r>
          </w:p>
        </w:tc>
      </w:tr>
      <w:tr w14:paraId="5C56F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15" w:type="dxa"/>
        </w:trPr>
        <w:tc>
          <w:tcPr>
            <w:tcW w:w="0" w:type="auto"/>
            <w:shd w:val="clear"/>
            <w:vAlign w:val="center"/>
          </w:tcPr>
          <w:p w14:paraId="2AAC4960">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资金总额</w:t>
            </w:r>
          </w:p>
        </w:tc>
        <w:tc>
          <w:tcPr>
            <w:tcW w:w="0" w:type="auto"/>
            <w:shd w:val="clear"/>
            <w:vAlign w:val="center"/>
          </w:tcPr>
          <w:p w14:paraId="330EEA1F">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5454599.93</w:t>
            </w:r>
          </w:p>
        </w:tc>
        <w:tc>
          <w:tcPr>
            <w:tcW w:w="0" w:type="auto"/>
            <w:shd w:val="clear"/>
            <w:vAlign w:val="center"/>
          </w:tcPr>
          <w:p w14:paraId="424FE0B3">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5451501.74</w:t>
            </w:r>
          </w:p>
        </w:tc>
        <w:tc>
          <w:tcPr>
            <w:tcW w:w="0" w:type="auto"/>
            <w:shd w:val="clear"/>
            <w:vAlign w:val="center"/>
          </w:tcPr>
          <w:p w14:paraId="018C0B51">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99.94%</w:t>
            </w:r>
          </w:p>
        </w:tc>
        <w:tc>
          <w:tcPr>
            <w:tcW w:w="0" w:type="auto"/>
            <w:shd w:val="clear"/>
            <w:vAlign w:val="center"/>
          </w:tcPr>
          <w:p w14:paraId="123BD9D7">
            <w:pPr>
              <w:keepNext w:val="0"/>
              <w:keepLines w:val="0"/>
              <w:widowControl/>
              <w:suppressLineNumbers w:val="0"/>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3098.19</w:t>
            </w:r>
          </w:p>
        </w:tc>
      </w:tr>
    </w:tbl>
    <w:p w14:paraId="1B388F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（四）项目资金管理情况</w:t>
      </w:r>
    </w:p>
    <w:p w14:paraId="1AFA2524">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制度保障健全</w:t>
      </w:r>
      <w:r>
        <w:rPr>
          <w:rFonts w:hint="eastAsia" w:asciiTheme="minorEastAsia" w:hAnsiTheme="minorEastAsia" w:eastAsiaTheme="minorEastAsia" w:cstheme="minorEastAsia"/>
          <w:b w:val="0"/>
          <w:bCs w:val="0"/>
          <w:color w:val="000000"/>
          <w:sz w:val="30"/>
          <w:szCs w:val="30"/>
          <w:bdr w:val="none" w:color="auto" w:sz="0" w:space="0"/>
        </w:rPr>
        <w:t>：学校严格执行《预算法》《中小学财务管理制度》《海口市义务教育学校经费管理办法》及“双减”政策相关经费管理要求，结合本校实际制定《课后服务经费管理办法》《研学活动经费管理细则》《财务内部控制制度》，明确项目资金使用范围、支付标准、审批流程，形成制度化、规范化的资金管理体系，确保资金使用有章可循。</w:t>
      </w:r>
    </w:p>
    <w:p w14:paraId="4B228B19">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流程管控严格</w:t>
      </w:r>
      <w:r>
        <w:rPr>
          <w:rFonts w:hint="eastAsia" w:asciiTheme="minorEastAsia" w:hAnsiTheme="minorEastAsia" w:eastAsiaTheme="minorEastAsia" w:cstheme="minorEastAsia"/>
          <w:b w:val="0"/>
          <w:bCs w:val="0"/>
          <w:color w:val="000000"/>
          <w:sz w:val="30"/>
          <w:szCs w:val="30"/>
          <w:bdr w:val="none" w:color="auto" w:sz="0" w:space="0"/>
        </w:rPr>
        <w:t>：建立 “科室提报 - 审核确认 - 分级审批 - 资金支付 - 核算归档” 的全流程资金管控机制。教务处提报课后服务劳务费发放清单、研学活动经费使用计划，经科室负责人、校领导审核签字后，由财务科对单据真实性、合规性、完整性进行双重核查，符合要求后按财务流程支付资金，全程留存凭证，做到账证相符、有据可查。</w:t>
      </w:r>
    </w:p>
    <w:p w14:paraId="629422E7">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分类管控精准</w:t>
      </w:r>
      <w:r>
        <w:rPr>
          <w:rFonts w:hint="eastAsia" w:asciiTheme="minorEastAsia" w:hAnsiTheme="minorEastAsia" w:eastAsiaTheme="minorEastAsia" w:cstheme="minorEastAsia"/>
          <w:b w:val="0"/>
          <w:bCs w:val="0"/>
          <w:color w:val="000000"/>
          <w:sz w:val="30"/>
          <w:szCs w:val="30"/>
          <w:bdr w:val="none" w:color="auto" w:sz="0" w:space="0"/>
        </w:rPr>
        <w:t>：针对财政资金和单位资金实行分类管理、专款专用，分别核算两类资金的收支情况，确保财政资金严格按照上级规定用于课后服务核心开支，单位资金补充支撑研学活动等拓展性教育教学工作，两类资金互补协同，提升资金使用精准度。</w:t>
      </w:r>
    </w:p>
    <w:p w14:paraId="378208F3">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动态监控到位</w:t>
      </w:r>
      <w:r>
        <w:rPr>
          <w:rFonts w:hint="eastAsia" w:asciiTheme="minorEastAsia" w:hAnsiTheme="minorEastAsia" w:eastAsiaTheme="minorEastAsia" w:cstheme="minorEastAsia"/>
          <w:b w:val="0"/>
          <w:bCs w:val="0"/>
          <w:color w:val="000000"/>
          <w:sz w:val="30"/>
          <w:szCs w:val="30"/>
          <w:bdr w:val="none" w:color="auto" w:sz="0" w:space="0"/>
        </w:rPr>
        <w:t>：财务科定期对项目资金执行进度开展统计分析，每月与教务处核对经费使用、劳务费发放情况，及时掌握预算执行偏差，针对未支付资金逐一核查原因，结合实际工作进度优化支付计划，确保资金支付与项目实施进度同步，提升资金使用效率。</w:t>
      </w:r>
    </w:p>
    <w:p w14:paraId="5B14CB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三、项目组织实施情况</w:t>
      </w:r>
    </w:p>
    <w:p w14:paraId="085935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（一）项目组织情况</w:t>
      </w:r>
    </w:p>
    <w:p w14:paraId="384D650F">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分工明确，协同联动</w:t>
      </w:r>
      <w:r>
        <w:rPr>
          <w:rFonts w:hint="eastAsia" w:asciiTheme="minorEastAsia" w:hAnsiTheme="minorEastAsia" w:eastAsiaTheme="minorEastAsia" w:cstheme="minorEastAsia"/>
          <w:b w:val="0"/>
          <w:bCs w:val="0"/>
          <w:color w:val="000000"/>
          <w:sz w:val="30"/>
          <w:szCs w:val="30"/>
          <w:bdr w:val="none" w:color="auto" w:sz="0" w:space="0"/>
        </w:rPr>
        <w:t>：学校建立由</w:t>
      </w:r>
      <w:r>
        <w:rPr>
          <w:rStyle w:val="12"/>
          <w:rFonts w:hint="eastAsia" w:asciiTheme="minorEastAsia" w:hAnsiTheme="minorEastAsia" w:eastAsiaTheme="minorEastAsia" w:cstheme="minorEastAsia"/>
          <w:b w:val="0"/>
          <w:bCs w:val="0"/>
          <w:color w:val="000000"/>
          <w:sz w:val="30"/>
          <w:szCs w:val="30"/>
          <w:bdr w:val="none" w:color="auto" w:sz="0" w:space="0"/>
        </w:rPr>
        <w:t>教务处牵头，德育处、总务处、财务科</w:t>
      </w:r>
      <w:r>
        <w:rPr>
          <w:rFonts w:hint="eastAsia" w:asciiTheme="minorEastAsia" w:hAnsiTheme="minorEastAsia" w:eastAsiaTheme="minorEastAsia" w:cstheme="minorEastAsia"/>
          <w:b w:val="0"/>
          <w:bCs w:val="0"/>
          <w:color w:val="000000"/>
          <w:sz w:val="30"/>
          <w:szCs w:val="30"/>
          <w:bdr w:val="none" w:color="auto" w:sz="0" w:space="0"/>
        </w:rPr>
        <w:t>协同配合的项目实施工作小组，明确各部门核心职责，形成闭环工作机制。教务处负责课后服务课程设计、人员调配、研学活动组织及经费需求提报；德育处负责学生课后服务、研学活动的日常管理及安全保障；总务处负责活动物资采购、场地保障；财务科负责资金预算、支付、核算及全流程财务管控，各部门各司其职、无缝衔接，确保项目各项工作有序推进。</w:t>
      </w:r>
    </w:p>
    <w:p w14:paraId="059C32E3">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精准落实，动态调整</w:t>
      </w:r>
      <w:r>
        <w:rPr>
          <w:rFonts w:hint="eastAsia" w:asciiTheme="minorEastAsia" w:hAnsiTheme="minorEastAsia" w:eastAsiaTheme="minorEastAsia" w:cstheme="minorEastAsia"/>
          <w:b w:val="0"/>
          <w:bCs w:val="0"/>
          <w:color w:val="000000"/>
          <w:sz w:val="30"/>
          <w:szCs w:val="30"/>
          <w:bdr w:val="none" w:color="auto" w:sz="0" w:space="0"/>
        </w:rPr>
        <w:t>：项目实施过程中，针对课后服务学生人数动态变化、研学活动参与规模调整等情况，由教务处及时更新相关数据，报财务科调整资金使用计划，调整流程履行校内审核程序，确保资金使用与实际教育教学需求高度匹配，精准保障各项工作开展。</w:t>
      </w:r>
    </w:p>
    <w:p w14:paraId="6E9EE24B">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规范验收，全程留痕</w:t>
      </w:r>
      <w:r>
        <w:rPr>
          <w:rFonts w:hint="eastAsia" w:asciiTheme="minorEastAsia" w:hAnsiTheme="minorEastAsia" w:eastAsiaTheme="minorEastAsia" w:cstheme="minorEastAsia"/>
          <w:b w:val="0"/>
          <w:bCs w:val="0"/>
          <w:color w:val="000000"/>
          <w:sz w:val="30"/>
          <w:szCs w:val="30"/>
          <w:bdr w:val="none" w:color="auto" w:sz="0" w:space="0"/>
        </w:rPr>
        <w:t>：课后服务每月完成劳务费发放后、研学活动结束后，由教务处编制工作完成情况及经费使用明细表，经德育处、总务处核对确认后形成验收记录；财务科同步完成资金核算，所有验收资料、支付凭证、活动台账统一归档管理，实现项目实施全程留痕、可追溯。</w:t>
      </w:r>
    </w:p>
    <w:p w14:paraId="2ADBE9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（二）项目管理情况</w:t>
      </w:r>
    </w:p>
    <w:p w14:paraId="059CA2D4">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管理制度完善</w:t>
      </w:r>
      <w:r>
        <w:rPr>
          <w:rFonts w:hint="eastAsia" w:asciiTheme="minorEastAsia" w:hAnsiTheme="minorEastAsia" w:eastAsiaTheme="minorEastAsia" w:cstheme="minorEastAsia"/>
          <w:b w:val="0"/>
          <w:bCs w:val="0"/>
          <w:color w:val="000000"/>
          <w:sz w:val="30"/>
          <w:szCs w:val="30"/>
          <w:bdr w:val="none" w:color="auto" w:sz="0" w:space="0"/>
        </w:rPr>
        <w:t>：在资金管理基础上，学校完善《课后服务管理实施细则》《师生研学活动管理办法》等配套制度，明确课后服务课程设置、师资考核、研学活动安全保障、经费使用标准等要求，将经费使用与工作成效相结合，确保项目资金使用与教育教学管理工作深度融合，提升资金使用效益。</w:t>
      </w:r>
    </w:p>
    <w:p w14:paraId="2C5D9C68">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日常监督严格</w:t>
      </w:r>
      <w:r>
        <w:rPr>
          <w:rFonts w:hint="eastAsia" w:asciiTheme="minorEastAsia" w:hAnsiTheme="minorEastAsia" w:eastAsiaTheme="minorEastAsia" w:cstheme="minorEastAsia"/>
          <w:b w:val="0"/>
          <w:bCs w:val="0"/>
          <w:color w:val="000000"/>
          <w:sz w:val="30"/>
          <w:szCs w:val="30"/>
          <w:bdr w:val="none" w:color="auto" w:sz="0" w:space="0"/>
        </w:rPr>
        <w:t>：建立“日常巡查 + 定期督查 + 专项检查”的三重监督机制。教务处每日巡查课后服务开展情况、研学活动筹备进度；财务科每周核查资金支付流程合规性；学校纪检小组每季度开展项目专项督查，重点检查资金使用、劳务费发放、研学活动经费报销的合规性，杜绝违规操作，确保项目实施质量。</w:t>
      </w:r>
    </w:p>
    <w:p w14:paraId="22612FC7">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台账管理规范</w:t>
      </w:r>
      <w:r>
        <w:rPr>
          <w:rFonts w:hint="eastAsia" w:asciiTheme="minorEastAsia" w:hAnsiTheme="minorEastAsia" w:eastAsiaTheme="minorEastAsia" w:cstheme="minorEastAsia"/>
          <w:b w:val="0"/>
          <w:bCs w:val="0"/>
          <w:color w:val="000000"/>
          <w:sz w:val="30"/>
          <w:szCs w:val="30"/>
          <w:bdr w:val="none" w:color="auto" w:sz="0" w:space="0"/>
        </w:rPr>
        <w:t>：对项目实施全过程建立标准化、分类化台账，包括课后服务师生参与台账、劳务费发放台账、研学活动组织实施台账、经费使用及资金支付台账等，做到台账信息完整、数据准确、更新及时，为项目绩效评价、后续工作开展提供坚实的数据支撑。</w:t>
      </w:r>
    </w:p>
    <w:p w14:paraId="032AF2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四、项目绩效情况</w:t>
      </w:r>
    </w:p>
    <w:p w14:paraId="3F2231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本项目2025年度所有绩效指标均超额或达标完成，自评综合得分99.99分，从</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经济性、效率性、有效性、可持续性</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四大维度分析，项目资金使用效益充分发挥，全面实现预设绩效目标，为学校教育教学管理工作高质量开展提供了坚实的经费保障，具体分析如下：</w:t>
      </w:r>
    </w:p>
    <w:p w14:paraId="59BA94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（一）项目绩效目标完成情况</w:t>
      </w:r>
    </w:p>
    <w:p w14:paraId="227592B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 xml:space="preserve"> 经济性分析：成本管控精准，资金高效集约</w:t>
      </w:r>
    </w:p>
    <w:p w14:paraId="51BDAA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本项目严格执行精细化预算管控和分类资金管理，实现成本控制与资金高效集约使用的双重目标：一是预算编制科学精准，根据教育教学实际需求动态调整全年预算，调减冗余资金 350000.07元，资金安排贴合实际无浪费；二是资金执行率极高，整体执行率99.94%，财政和单位资金执行率均接近100%，未执行资金为小额合理尾款，无资金闲置沉淀；三是分类管控提升效益，财政资金聚焦课后服务核心开支、单位资金补充研学拓展，两类资金互补使用，在保障各项教育教学工作开展的前提下，最大限度提升资金使用经济性，实现 “花好每一笔钱，办好每一件事”。</w:t>
      </w:r>
    </w:p>
    <w:p w14:paraId="334666D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效率性分析：实施进度高效，指标大幅超额</w:t>
      </w:r>
    </w:p>
    <w:p w14:paraId="2AEA19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项目实施全程严格按照年度工作计划推进，实施效率远超预期，</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所有产出数量指标均大幅超额完成</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，各项工作按时、按质落地：</w:t>
      </w:r>
    </w:p>
    <w:p w14:paraId="7E3B796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b w:val="0"/>
          <w:bCs w:val="0"/>
          <w:color w:val="000000"/>
          <w:sz w:val="30"/>
          <w:szCs w:val="30"/>
        </w:rPr>
      </w:pPr>
      <w:r>
        <w:rPr>
          <w:rFonts w:hint="eastAsia" w:cstheme="minorEastAsia"/>
          <w:b w:val="0"/>
          <w:bCs w:val="0"/>
          <w:color w:val="000000"/>
          <w:sz w:val="30"/>
          <w:szCs w:val="30"/>
          <w:bdr w:val="none" w:color="auto" w:sz="0" w:space="0"/>
          <w:lang w:val="en-US" w:eastAsia="zh-CN"/>
        </w:rPr>
        <w:t xml:space="preserve">   </w:t>
      </w:r>
      <w:r>
        <w:rPr>
          <w:rFonts w:hint="eastAsia" w:asciiTheme="minorEastAsia" w:hAnsiTheme="minorEastAsia" w:eastAsiaTheme="minorEastAsia" w:cstheme="minorEastAsia"/>
          <w:b w:val="0"/>
          <w:bCs w:val="0"/>
          <w:color w:val="000000"/>
          <w:sz w:val="30"/>
          <w:szCs w:val="30"/>
          <w:bdr w:val="none" w:color="auto" w:sz="0" w:space="0"/>
        </w:rPr>
        <w:t>课后服务参与人数大幅超额：实际参加课后服务教师512人，完成年度指标的128%；实际参加课后服务学生8960人，完成年度指标的298.67%，实现有需求学生全覆盖保障，远超预设目标；</w:t>
      </w:r>
    </w:p>
    <w:p w14:paraId="2161F51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b w:val="0"/>
          <w:bCs w:val="0"/>
          <w:color w:val="000000"/>
          <w:sz w:val="30"/>
          <w:szCs w:val="30"/>
        </w:rPr>
      </w:pPr>
      <w:r>
        <w:rPr>
          <w:rFonts w:hint="eastAsia" w:cstheme="minorEastAsia"/>
          <w:b w:val="0"/>
          <w:bCs w:val="0"/>
          <w:color w:val="000000"/>
          <w:sz w:val="30"/>
          <w:szCs w:val="30"/>
          <w:bdr w:val="none" w:color="auto" w:sz="0" w:space="0"/>
          <w:lang w:val="en-US" w:eastAsia="zh-CN"/>
        </w:rPr>
        <w:t xml:space="preserve">   </w:t>
      </w:r>
      <w:r>
        <w:rPr>
          <w:rFonts w:hint="eastAsia" w:asciiTheme="minorEastAsia" w:hAnsiTheme="minorEastAsia" w:eastAsiaTheme="minorEastAsia" w:cstheme="minorEastAsia"/>
          <w:b w:val="0"/>
          <w:bCs w:val="0"/>
          <w:color w:val="000000"/>
          <w:sz w:val="30"/>
          <w:szCs w:val="30"/>
          <w:bdr w:val="none" w:color="auto" w:sz="0" w:space="0"/>
        </w:rPr>
        <w:t>研学活动参与人次超额完成：实际教师研学241人次，完成年度指标的160.67%；实际学生研学旅行5695人，完成年度指标的284.75%，丰富了教育教学拓展形式；</w:t>
      </w:r>
    </w:p>
    <w:p w14:paraId="1DEE50C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b w:val="0"/>
          <w:bCs w:val="0"/>
          <w:color w:val="000000"/>
          <w:sz w:val="30"/>
          <w:szCs w:val="30"/>
        </w:rPr>
      </w:pPr>
      <w:r>
        <w:rPr>
          <w:rFonts w:hint="eastAsia" w:cstheme="minorEastAsia"/>
          <w:b w:val="0"/>
          <w:bCs w:val="0"/>
          <w:color w:val="000000"/>
          <w:sz w:val="30"/>
          <w:szCs w:val="30"/>
          <w:bdr w:val="none" w:color="auto" w:sz="0" w:space="0"/>
          <w:lang w:val="en-US" w:eastAsia="zh-CN"/>
        </w:rPr>
        <w:t xml:space="preserve">   </w:t>
      </w:r>
      <w:r>
        <w:rPr>
          <w:rFonts w:hint="eastAsia" w:asciiTheme="minorEastAsia" w:hAnsiTheme="minorEastAsia" w:eastAsiaTheme="minorEastAsia" w:cstheme="minorEastAsia"/>
          <w:b w:val="0"/>
          <w:bCs w:val="0"/>
          <w:color w:val="000000"/>
          <w:sz w:val="30"/>
          <w:szCs w:val="30"/>
          <w:bdr w:val="none" w:color="auto" w:sz="0" w:space="0"/>
        </w:rPr>
        <w:t>工作推进效率高效：课后服务按学期常态化开展，劳务费每月按时足额发放，研学活动按计划有序组织，无工作延期、劳务费拖欠情况，项目实施进度与时间计划高度匹配，执行效率优异。</w:t>
      </w:r>
    </w:p>
    <w:p w14:paraId="014FD0A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有效性分析：教学保障到位，效益成效显著</w:t>
      </w:r>
    </w:p>
    <w:p w14:paraId="618A69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项目资金的足额投入和规范使用，紧扣 “双减” 政策要求，实现了“保服务、提质量、促发展、高满意”的核心目标，实施效果突出：</w:t>
      </w:r>
    </w:p>
    <w:p w14:paraId="5FE083B4">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900" w:firstLineChars="3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课后服务高效落地：实现有需求学生全覆盖，丰富的课后服务课程弥补了课堂教学不足，有效减轻学生作业负担和家长看护压力，落实 “双减” 政策核心要求；</w:t>
      </w:r>
    </w:p>
    <w:p w14:paraId="75B2019B">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教师积极性充分激发：课后服务劳务费及时足额发放，研学活动为教师提供专业发展平台，有效激发教师教学和参与课后服务的积极性，师资队伍教学活力显著提升；</w:t>
      </w:r>
    </w:p>
    <w:p w14:paraId="5AC2315B">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学生全面发展助力明显：课后服务和研学旅行丰富了学生学习形式，拓宽了学生视野，培养了学生综合素养，同时课后服务的有效开展为学生学业巩固提供保障，实现学生学业水平稳步提高；</w:t>
      </w:r>
    </w:p>
    <w:p w14:paraId="20EBE7F5">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bdr w:val="none" w:color="auto" w:sz="0" w:space="0"/>
        </w:rPr>
      </w:pPr>
      <w:r>
        <w:rPr>
          <w:rFonts w:hint="eastAsia" w:asciiTheme="minorEastAsia" w:hAnsiTheme="minorEastAsia" w:eastAsiaTheme="minorEastAsia" w:cstheme="minorEastAsia"/>
          <w:b w:val="0"/>
          <w:bCs w:val="0"/>
          <w:color w:val="000000"/>
          <w:sz w:val="30"/>
          <w:szCs w:val="30"/>
          <w:bdr w:val="none" w:color="auto" w:sz="0" w:space="0"/>
        </w:rPr>
        <w:t>师生家长满意度满分：师生研学活动参与度达 100%，家长及师生对课后服务、研学活动的开展成效满意度达 100%，项目实施获得服务对象高度认可，社会效益显著。</w:t>
      </w:r>
    </w:p>
    <w:p w14:paraId="3CBC89D5">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300" w:firstLineChars="1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可持续性分析：多维保障健全，长效支撑教学</w:t>
      </w:r>
    </w:p>
    <w:p w14:paraId="13F883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本项目作为学校教育教学管理的核心保障项目，紧扣义务教育发展和“双减”政策长效要求，在</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政策、资金、管理、人员</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等方面均具备坚实的可持续性基础，能够长期为学校教育教学管理工作提供稳定支撑：</w:t>
      </w:r>
    </w:p>
    <w:p w14:paraId="74716C74">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政策层面“双减”政策为课后服务提供长期政策支撑，研学旅行纳入义务教育综合实践课程体系，上级主管部门持续出台相关政策指导教育教学管理工作，项目实施政策依据充分、长效稳定；</w:t>
      </w:r>
    </w:p>
    <w:p w14:paraId="22DAC326">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资金层面：项目资金由财政资金和单位资金双重保障，财政资金将根据上级政策和学校实际需求持续安排，单位资金将纳入学校年度预算常态化保障，资金来源可靠、可持续；</w:t>
      </w:r>
    </w:p>
    <w:p w14:paraId="725EB056">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管理层面：学校已建立完善的项目管理制度、资金管控体系和多部门协同实施机制，形成了成熟的教育教学管理经费使用模式，后续可根据政策要求和办学需求持续优化，为项目长期实施提供制度保障；</w:t>
      </w:r>
    </w:p>
    <w:p w14:paraId="31B95D77">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人员层面：项目实施的各部门工作人员队伍稳定，具备丰富的课后服务组织、研学活动开展和经费管理经验，能够保障项目长期高效推进，持续支撑学校教育教学管理工作提质增效。</w:t>
      </w:r>
    </w:p>
    <w:p w14:paraId="693E1F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（二）项目绩效目标未完成情况及原因分析</w:t>
      </w:r>
    </w:p>
    <w:p w14:paraId="572DAE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2025年度本项目所有核心绩效指标均超额或达标完成，仅因资金整体执行率未达100%（99.94%）导致自评得分扣0.01 分，无其他未完成绩效目标的情况。资金执行率未达100% 的核心原因系：</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少量研学活动尾款、课后服务零星耗材采购尾款因财务报销资料补充完善延后至次年初支付</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，上述未执行资金为小额合理财务流程延后支付，非项目实施或管理问题，不影响项目绩效目标的整体实现。</w:t>
      </w:r>
    </w:p>
    <w:p w14:paraId="2C2C63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lang w:val="en-US" w:eastAsia="zh-CN"/>
        </w:rPr>
        <w:t xml:space="preserve"> </w:t>
      </w:r>
      <w:r>
        <w:rPr>
          <w:rFonts w:hint="eastAsia" w:asciiTheme="minorEastAsia" w:hAnsiTheme="minorEastAsia" w:eastAsiaTheme="minorEastAsia" w:cstheme="minorEastAsia"/>
          <w:b w:val="0"/>
          <w:bCs w:val="0"/>
          <w:color w:val="000000"/>
          <w:sz w:val="30"/>
          <w:szCs w:val="30"/>
          <w:bdr w:val="none" w:color="auto" w:sz="0" w:space="0"/>
        </w:rPr>
        <w:t>五、其他需要说明的问题</w:t>
      </w:r>
    </w:p>
    <w:p w14:paraId="491D15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（一）主要经验及做法</w:t>
      </w:r>
    </w:p>
    <w:p w14:paraId="31A8BBC8">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政策引领，需求导向</w:t>
      </w:r>
      <w:r>
        <w:rPr>
          <w:rFonts w:hint="eastAsia" w:asciiTheme="minorEastAsia" w:hAnsiTheme="minorEastAsia" w:eastAsiaTheme="minorEastAsia" w:cstheme="minorEastAsia"/>
          <w:b w:val="0"/>
          <w:bCs w:val="0"/>
          <w:color w:val="000000"/>
          <w:sz w:val="30"/>
          <w:szCs w:val="30"/>
          <w:bdr w:val="none" w:color="auto" w:sz="0" w:space="0"/>
        </w:rPr>
        <w:t>：始终紧扣“双减”等教育政策要求，以学校教育教学实际需求和师生家长诉求为核心开展项目决策和资金测算，确保项目实施贴合政策导向、符合办学实际，从源头提升项目实施的有效性。</w:t>
      </w:r>
    </w:p>
    <w:p w14:paraId="2645668F">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分类管控，专款专用</w:t>
      </w:r>
      <w:r>
        <w:rPr>
          <w:rFonts w:hint="eastAsia" w:asciiTheme="minorEastAsia" w:hAnsiTheme="minorEastAsia" w:eastAsiaTheme="minorEastAsia" w:cstheme="minorEastAsia"/>
          <w:b w:val="0"/>
          <w:bCs w:val="0"/>
          <w:color w:val="000000"/>
          <w:sz w:val="30"/>
          <w:szCs w:val="30"/>
          <w:bdr w:val="none" w:color="auto" w:sz="0" w:space="0"/>
        </w:rPr>
        <w:t>：针对财政资金和单位资金实行分类管理、精准施策，财政资金聚焦课后服务核心保障，单位资金补充研学拓展等提质工作，两类资金互补协同，提升资金使用精准度和效益。</w:t>
      </w:r>
    </w:p>
    <w:p w14:paraId="143ED744">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分工协同，闭环管理</w:t>
      </w:r>
      <w:r>
        <w:rPr>
          <w:rFonts w:hint="eastAsia" w:asciiTheme="minorEastAsia" w:hAnsiTheme="minorEastAsia" w:eastAsiaTheme="minorEastAsia" w:cstheme="minorEastAsia"/>
          <w:b w:val="0"/>
          <w:bCs w:val="0"/>
          <w:color w:val="000000"/>
          <w:sz w:val="30"/>
          <w:szCs w:val="30"/>
          <w:bdr w:val="none" w:color="auto" w:sz="0" w:space="0"/>
        </w:rPr>
        <w:t>：建立教务处牵头、多部门协同的闭环实施机制，明确各部门职责边界，实现从活动组织、人员调配到经费审核、资金支付的无缝衔接，提升项目实施效率，确保各项工作落地见效。</w:t>
      </w:r>
    </w:p>
    <w:p w14:paraId="7F1F49AC">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全程管控，合规高效</w:t>
      </w:r>
      <w:r>
        <w:rPr>
          <w:rFonts w:hint="eastAsia" w:asciiTheme="minorEastAsia" w:hAnsiTheme="minorEastAsia" w:eastAsiaTheme="minorEastAsia" w:cstheme="minorEastAsia"/>
          <w:b w:val="0"/>
          <w:bCs w:val="0"/>
          <w:color w:val="000000"/>
          <w:sz w:val="30"/>
          <w:szCs w:val="30"/>
          <w:bdr w:val="none" w:color="auto" w:sz="0" w:space="0"/>
        </w:rPr>
        <w:t>：推行“提报 - 审核 - 审批 - 支付 - 归档”的全流程资金管控，结合日常巡查、定期督查、专项检查的多重监督机制，实现资金使用和项目实施的全程监控，确保资金专款专用、支付合规，项目实施全程留痕、可追溯。</w:t>
      </w:r>
    </w:p>
    <w:p w14:paraId="62DE8E2F">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量化考核，以效促管</w:t>
      </w:r>
      <w:r>
        <w:rPr>
          <w:rFonts w:hint="eastAsia" w:asciiTheme="minorEastAsia" w:hAnsiTheme="minorEastAsia" w:eastAsiaTheme="minorEastAsia" w:cstheme="minorEastAsia"/>
          <w:b w:val="0"/>
          <w:bCs w:val="0"/>
          <w:color w:val="000000"/>
          <w:sz w:val="30"/>
          <w:szCs w:val="30"/>
          <w:bdr w:val="none" w:color="auto" w:sz="0" w:space="0"/>
        </w:rPr>
        <w:t>：构建量化与定性相结合的绩效指标体系，将指标完成情况与部门工作考核相结合，以绩效评价倒逼项目管理提质，确保项目实施成效与预设目标高度契合。</w:t>
      </w:r>
    </w:p>
    <w:p w14:paraId="03C874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（二）存在问题</w:t>
      </w:r>
    </w:p>
    <w:p w14:paraId="00EE961F">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预算编制的前瞻性需进一步提升</w:t>
      </w:r>
      <w:r>
        <w:rPr>
          <w:rFonts w:hint="eastAsia" w:asciiTheme="minorEastAsia" w:hAnsiTheme="minorEastAsia" w:eastAsiaTheme="minorEastAsia" w:cstheme="minorEastAsia"/>
          <w:b w:val="0"/>
          <w:bCs w:val="0"/>
          <w:color w:val="000000"/>
          <w:sz w:val="30"/>
          <w:szCs w:val="30"/>
          <w:bdr w:val="none" w:color="auto" w:sz="0" w:space="0"/>
        </w:rPr>
        <w:t>：虽实现预算精准测算，但针对课后服务学生人数突发增长、研学活动临时调整等情况的预判不足，预算调整虽及时但仍需进一步提升前瞻性，减少预算调整幅度；</w:t>
      </w:r>
    </w:p>
    <w:p w14:paraId="651759FE">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绩效指标体系的精细化程度需优化</w:t>
      </w:r>
      <w:r>
        <w:rPr>
          <w:rFonts w:hint="eastAsia" w:asciiTheme="minorEastAsia" w:hAnsiTheme="minorEastAsia" w:eastAsiaTheme="minorEastAsia" w:cstheme="minorEastAsia"/>
          <w:b w:val="0"/>
          <w:bCs w:val="0"/>
          <w:color w:val="000000"/>
          <w:sz w:val="30"/>
          <w:szCs w:val="30"/>
          <w:bdr w:val="none" w:color="auto" w:sz="0" w:space="0"/>
        </w:rPr>
        <w:t>：目前绩效指标以数量、满意度类为主，针对</w:t>
      </w:r>
      <w:r>
        <w:rPr>
          <w:rStyle w:val="12"/>
          <w:rFonts w:hint="eastAsia" w:asciiTheme="minorEastAsia" w:hAnsiTheme="minorEastAsia" w:eastAsiaTheme="minorEastAsia" w:cstheme="minorEastAsia"/>
          <w:b w:val="0"/>
          <w:bCs w:val="0"/>
          <w:color w:val="000000"/>
          <w:sz w:val="30"/>
          <w:szCs w:val="30"/>
          <w:bdr w:val="none" w:color="auto" w:sz="0" w:space="0"/>
        </w:rPr>
        <w:t>课后服务课程质量、教师研学专业提升成效、学生研学综合素养提升</w:t>
      </w:r>
      <w:r>
        <w:rPr>
          <w:rFonts w:hint="eastAsia" w:asciiTheme="minorEastAsia" w:hAnsiTheme="minorEastAsia" w:eastAsiaTheme="minorEastAsia" w:cstheme="minorEastAsia"/>
          <w:b w:val="0"/>
          <w:bCs w:val="0"/>
          <w:color w:val="000000"/>
          <w:sz w:val="30"/>
          <w:szCs w:val="30"/>
          <w:bdr w:val="none" w:color="auto" w:sz="0" w:space="0"/>
        </w:rPr>
        <w:t>等方面的精细化、长效性评价指标不足，指标体系的全面性和深度有待拓展；</w:t>
      </w:r>
    </w:p>
    <w:p w14:paraId="71AB4C1A">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Style w:val="12"/>
          <w:rFonts w:hint="eastAsia" w:asciiTheme="minorEastAsia" w:hAnsiTheme="minorEastAsia" w:eastAsiaTheme="minorEastAsia" w:cstheme="minorEastAsia"/>
          <w:b w:val="0"/>
          <w:bCs w:val="0"/>
          <w:color w:val="000000"/>
          <w:sz w:val="30"/>
          <w:szCs w:val="30"/>
          <w:bdr w:val="none" w:color="auto" w:sz="0" w:space="0"/>
        </w:rPr>
        <w:t>数字化管理水平需进一步提升</w:t>
      </w:r>
      <w:r>
        <w:rPr>
          <w:rFonts w:hint="eastAsia" w:asciiTheme="minorEastAsia" w:hAnsiTheme="minorEastAsia" w:eastAsiaTheme="minorEastAsia" w:cstheme="minorEastAsia"/>
          <w:b w:val="0"/>
          <w:bCs w:val="0"/>
          <w:color w:val="000000"/>
          <w:sz w:val="30"/>
          <w:szCs w:val="30"/>
          <w:bdr w:val="none" w:color="auto" w:sz="0" w:space="0"/>
        </w:rPr>
        <w:t>：项目实施中的课后服务参与、劳务费发放、研学活动组织及经费使用等台账，目前为线下与线上部分结合的模式，数字化台账管理平台尚未完善，数据统计、分析及共享效率有待提升；</w:t>
      </w:r>
    </w:p>
    <w:p w14:paraId="77FE9E32">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bdr w:val="none" w:color="auto" w:sz="0" w:space="0"/>
        </w:rPr>
      </w:pPr>
      <w:r>
        <w:rPr>
          <w:rStyle w:val="12"/>
          <w:rFonts w:hint="eastAsia" w:asciiTheme="minorEastAsia" w:hAnsiTheme="minorEastAsia" w:eastAsiaTheme="minorEastAsia" w:cstheme="minorEastAsia"/>
          <w:b w:val="0"/>
          <w:bCs w:val="0"/>
          <w:color w:val="000000"/>
          <w:sz w:val="30"/>
          <w:szCs w:val="30"/>
          <w:bdr w:val="none" w:color="auto" w:sz="0" w:space="0"/>
        </w:rPr>
        <w:t>经费使用的效益分析体系需完善</w:t>
      </w:r>
      <w:r>
        <w:rPr>
          <w:rFonts w:hint="eastAsia" w:asciiTheme="minorEastAsia" w:hAnsiTheme="minorEastAsia" w:eastAsiaTheme="minorEastAsia" w:cstheme="minorEastAsia"/>
          <w:b w:val="0"/>
          <w:bCs w:val="0"/>
          <w:color w:val="000000"/>
          <w:sz w:val="30"/>
          <w:szCs w:val="30"/>
          <w:bdr w:val="none" w:color="auto" w:sz="0" w:space="0"/>
        </w:rPr>
        <w:t>：目前对项目资金使用效益的分析主要以执行率、参与人数等基础指标为主，缺乏对资金使用与教育教学质量提升关联性的深度分析，效益分析的专业性和深度有待加强。</w:t>
      </w:r>
    </w:p>
    <w:p w14:paraId="30B68D22">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（三）改进措施和有关建议</w:t>
      </w:r>
    </w:p>
    <w:p w14:paraId="238DF89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30"/>
          <w:szCs w:val="30"/>
          <w:bdr w:val="none" w:color="auto" w:sz="0" w:space="0"/>
        </w:rPr>
      </w:pPr>
      <w:r>
        <w:rPr>
          <w:rFonts w:hint="eastAsia" w:asciiTheme="minorEastAsia" w:hAnsiTheme="minorEastAsia" w:eastAsiaTheme="minorEastAsia" w:cstheme="minorEastAsia"/>
          <w:b w:val="0"/>
          <w:bCs w:val="0"/>
          <w:color w:val="000000"/>
          <w:sz w:val="30"/>
          <w:szCs w:val="30"/>
          <w:bdr w:val="none" w:color="auto" w:sz="0" w:space="0"/>
        </w:rPr>
        <w:t xml:space="preserve"> </w:t>
      </w:r>
      <w:r>
        <w:rPr>
          <w:rFonts w:hint="eastAsia" w:asciiTheme="minorEastAsia" w:hAnsiTheme="minorEastAsia" w:eastAsiaTheme="minorEastAsia" w:cstheme="minorEastAsia"/>
          <w:b w:val="0"/>
          <w:bCs w:val="0"/>
          <w:color w:val="000000"/>
          <w:sz w:val="30"/>
          <w:szCs w:val="30"/>
          <w:bdr w:val="none" w:color="auto" w:sz="0" w:space="0"/>
          <w:lang w:val="en-US" w:eastAsia="zh-CN"/>
        </w:rPr>
        <w:t xml:space="preserve"> </w:t>
      </w:r>
      <w:r>
        <w:rPr>
          <w:rFonts w:hint="eastAsia" w:asciiTheme="minorEastAsia" w:hAnsiTheme="minorEastAsia" w:eastAsiaTheme="minorEastAsia" w:cstheme="minorEastAsia"/>
          <w:b w:val="0"/>
          <w:bCs w:val="0"/>
          <w:color w:val="000000"/>
          <w:sz w:val="30"/>
          <w:szCs w:val="30"/>
          <w:bdr w:val="none" w:color="auto" w:sz="0" w:space="0"/>
        </w:rPr>
        <w:t>内部改进措施</w:t>
      </w:r>
    </w:p>
    <w:p w14:paraId="59713B6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（1）提升预算编制前瞻性：建立</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学校教育教学需求动态数据库</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整合历年课后服务、研学活动参与数据，实时跟踪学生人数变化、政策调整等因素，预算编制前开展全维度需求调研，充分考虑突发情况和临时调整需求，预留合理资金弹性，提高预算编制的精准度和前瞻性，减少预算调整幅度（2）完善绩效指标体系：构建“数量 + 质量 + 效益 + 长效”</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的多维绩效评价体系，新增课后服务课程优秀率、教师研学专业能力提升率、学生研学综合素养提升率、课后服务经费使用效益率等精细化指标，实现从“基础指标评价”向“全方位、精细化效益评价”的转变，更全面反映项目实施成效（3）优化数字化管理水平：加快推进教育教学管理经费数字化管理平台建设，搭建集</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课后服务师生管理、劳务费核算发放、研学活动组织、经费使用统计、数据智能分析</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于一体的线上管理平台，实现各部门数据实时共享、动态更新，提升项目实施和资金管理的信息化、智能化水平，提高工作效率（4）完善经费效益分析体系：建立资金使用效益深度分析机制，定期开展经费使用与教育教学质量提升的关联性分析，结合学生学业水平、综合素养提升情况，评估课后服务、研学活动经费的使用效益，形成效益分析报告，为后续资金安排和项目管理优化提供数据支撑。</w:t>
      </w:r>
      <w:bookmarkStart w:id="0" w:name="_GoBack"/>
      <w:bookmarkEnd w:id="0"/>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（5）优化资金支付流程：针对小额尾款延后支付情况，建立</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提前对接、快速审核、及时支付的工作机制，简化小额经费报销流程，加快资料审核效率，最大限度缩短资金支付周期，提升资金执行率。</w:t>
      </w:r>
    </w:p>
    <w:p w14:paraId="1681134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 xml:space="preserve"> 有关建议</w:t>
      </w:r>
    </w:p>
    <w:p w14:paraId="52DF3A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（1）对主管部门的建议：建议海口市教育局、财政局定期组织义务教育学校开展</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课后服务经费管理、研学活动经费使用、预算编制、绩效评价</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等方面的业务培训和经验交流，分享先进的管理模式和数字化建设案例，提升学校教务、财务管理人员的专业能力；同时建立教育教学相关政策调整、经费保障标准变化的提前告知机制，为学校预算编制提供参考（2）政策层面的建议：建议上级部门结合 “双减” 政策长效推进要求和区域教育教学发展实际，建立</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义务教育学校课后服务经费动态调整机制</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根据物价水平、学生人数变化、劳务费标准调整等因素，适时提高课后服务财政经费保障标准；同时将研学活动经费纳入义务教育常态化经费保障范围，加大财政资金支持力度，助力学校丰富教育教学形式，促进学生全面发展。</w:t>
      </w:r>
    </w:p>
    <w:p w14:paraId="1369DA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sz w:val="30"/>
          <w:szCs w:val="30"/>
          <w:bdr w:val="none" w:color="auto" w:sz="0" w:space="0"/>
        </w:rPr>
        <w:t>六、自评结论</w:t>
      </w:r>
    </w:p>
    <w:p w14:paraId="5CF5B0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2025年度海口市五源河学校教育教学管理项目，严格按照上级主管部门政策要求及学校管理制度推进实施，项目决策科学合规、资金使用规范高效、组织实施有序可控、所有绩效指标均超额或达标完成，资金使用效益充分发挥。项目紧扣“双减”政策要求，通过足额保障课后服务、研学活动等经费需求，及时发放课后服务劳务费，实现了课后服务有需求学生全覆盖、研学活动高效开展，有效激发了教师教学积极性，促进了学生全面发展，师生及家长满意度达100%，全面完成了年度教育教学管理各项工作任务，为学校教育教学工作高质量开展提供了坚实保障。</w:t>
      </w:r>
    </w:p>
    <w:p w14:paraId="7C553A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本次项目绩效自评综合得分为</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99.99分</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，自评结论为</w:t>
      </w:r>
      <w:r>
        <w:rPr>
          <w:rStyle w:val="12"/>
          <w:rFonts w:hint="eastAsia" w:asciiTheme="minorEastAsia" w:hAnsiTheme="minorEastAsia" w:eastAsiaTheme="minorEastAsia" w:cstheme="minorEastAsia"/>
          <w:b w:val="0"/>
          <w:bCs w:val="0"/>
          <w:color w:val="000000"/>
          <w:kern w:val="0"/>
          <w:sz w:val="30"/>
          <w:szCs w:val="30"/>
          <w:bdr w:val="none" w:color="auto" w:sz="0" w:space="0"/>
          <w:lang w:val="en-US" w:eastAsia="zh-CN" w:bidi="ar"/>
        </w:rPr>
        <w:t>优秀</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。未达满分的原因系小额经费尾款因财务流程延后支付导致资金执行率未达100%，学校将针对性制定改进措施，优化预算编制、资金支付流程和数字化管理水平，进一步提升项目管理精细化程度。</w:t>
      </w:r>
    </w:p>
    <w:p w14:paraId="767C02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今后，学校将以此次自评为契机，总结管理经验，固化优秀做法，针对存在的问题及时整改优化，持续完善项目管理制度和绩效指标体系，进一步强化资金使用精细化管控和效益分析，推动项目管理效能持续提升。同时，将紧扣义务教育发展和“双减”政策长效要求，常态化保障课后服务、研学活动等教育教学管理经费需求，不断丰富教育教学形式，提升教育教学质量，确保教育教学管理项目能够长期、高效为学校义务教育办学提质增效提供稳定、坚实的经费保障，助力学生全面发展和教师专业成长。</w:t>
      </w:r>
    </w:p>
    <w:p w14:paraId="779074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2400" w:firstLineChars="800"/>
        <w:jc w:val="left"/>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pPr>
    </w:p>
    <w:p w14:paraId="467057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0" w:firstLineChars="1000"/>
        <w:jc w:val="left"/>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海口市五源河学校</w:t>
      </w:r>
    </w:p>
    <w:p w14:paraId="2145DF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300" w:firstLineChars="1100"/>
        <w:jc w:val="left"/>
        <w:rPr>
          <w:rFonts w:hint="eastAsia" w:asciiTheme="minorEastAsia" w:hAnsiTheme="minorEastAsia" w:eastAsiaTheme="minorEastAsia" w:cstheme="minorEastAsia"/>
          <w:b w:val="0"/>
          <w:bCs w:val="0"/>
          <w:color w:val="000000"/>
          <w:sz w:val="30"/>
          <w:szCs w:val="30"/>
        </w:rPr>
      </w:pP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202</w:t>
      </w:r>
      <w:r>
        <w:rPr>
          <w:rFonts w:hint="eastAsia" w:cstheme="minorEastAsia"/>
          <w:b w:val="0"/>
          <w:bCs w:val="0"/>
          <w:color w:val="000000"/>
          <w:kern w:val="0"/>
          <w:sz w:val="30"/>
          <w:szCs w:val="30"/>
          <w:bdr w:val="none" w:color="auto" w:sz="0" w:space="0"/>
          <w:lang w:val="en-US" w:eastAsia="zh-CN" w:bidi="ar"/>
        </w:rPr>
        <w:t>6</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年</w:t>
      </w:r>
      <w:r>
        <w:rPr>
          <w:rFonts w:hint="eastAsia" w:cstheme="minorEastAsia"/>
          <w:b w:val="0"/>
          <w:bCs w:val="0"/>
          <w:color w:val="000000"/>
          <w:kern w:val="0"/>
          <w:sz w:val="30"/>
          <w:szCs w:val="30"/>
          <w:bdr w:val="none" w:color="auto" w:sz="0" w:space="0"/>
          <w:lang w:val="en-US" w:eastAsia="zh-CN" w:bidi="ar"/>
        </w:rPr>
        <w:t>3</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月</w:t>
      </w:r>
      <w:r>
        <w:rPr>
          <w:rFonts w:hint="eastAsia" w:cstheme="minorEastAsia"/>
          <w:b w:val="0"/>
          <w:bCs w:val="0"/>
          <w:color w:val="000000"/>
          <w:kern w:val="0"/>
          <w:sz w:val="30"/>
          <w:szCs w:val="30"/>
          <w:bdr w:val="none" w:color="auto" w:sz="0" w:space="0"/>
          <w:lang w:val="en-US" w:eastAsia="zh-CN" w:bidi="ar"/>
        </w:rPr>
        <w:t>6</w:t>
      </w:r>
      <w:r>
        <w:rPr>
          <w:rFonts w:hint="eastAsia" w:asciiTheme="minorEastAsia" w:hAnsiTheme="minorEastAsia" w:eastAsiaTheme="minorEastAsia" w:cstheme="minorEastAsia"/>
          <w:b w:val="0"/>
          <w:bCs w:val="0"/>
          <w:color w:val="000000"/>
          <w:kern w:val="0"/>
          <w:sz w:val="30"/>
          <w:szCs w:val="30"/>
          <w:bdr w:val="none" w:color="auto" w:sz="0" w:space="0"/>
          <w:lang w:val="en-US" w:eastAsia="zh-CN" w:bidi="ar"/>
        </w:rPr>
        <w:t>日</w:t>
      </w:r>
    </w:p>
    <w:p w14:paraId="072222AE">
      <w:pPr>
        <w:pStyle w:val="9"/>
        <w:keepNext w:val="0"/>
        <w:keepLines w:val="0"/>
        <w:widowControl/>
        <w:suppressLineNumbers w:val="0"/>
        <w:spacing w:line="525" w:lineRule="atLeast"/>
        <w:ind w:left="0" w:firstLine="645"/>
      </w:pPr>
      <w:r>
        <w:rPr>
          <w:rFonts w:hint="eastAsia" w:ascii="仿宋_GB2312" w:eastAsia="仿宋_GB2312" w:cs="仿宋_GB2312"/>
          <w:sz w:val="31"/>
          <w:szCs w:val="31"/>
        </w:rPr>
        <w:t xml:space="preserve">  </w:t>
      </w:r>
    </w:p>
    <w:p w14:paraId="4D2490DA">
      <w:pPr>
        <w:pStyle w:val="9"/>
        <w:keepNext w:val="0"/>
        <w:keepLines w:val="0"/>
        <w:widowControl/>
        <w:suppressLineNumbers w:val="0"/>
        <w:spacing w:line="525" w:lineRule="atLeast"/>
        <w:ind w:left="0" w:firstLine="645"/>
      </w:pPr>
      <w:r>
        <w:rPr>
          <w:rFonts w:hint="eastAsia" w:ascii="仿宋_GB2312" w:eastAsia="仿宋_GB2312" w:cs="仿宋_GB2312"/>
          <w:sz w:val="31"/>
          <w:szCs w:val="31"/>
        </w:rPr>
        <w:t xml:space="preserve">  </w:t>
      </w:r>
    </w:p>
    <w:p w14:paraId="697A4D66">
      <w:pPr>
        <w:pStyle w:val="9"/>
        <w:keepNext w:val="0"/>
        <w:keepLines w:val="0"/>
        <w:widowControl/>
        <w:suppressLineNumbers w:val="0"/>
        <w:spacing w:line="525" w:lineRule="atLeast"/>
        <w:ind w:left="0" w:firstLine="645"/>
      </w:pPr>
      <w:r>
        <w:rPr>
          <w:rFonts w:hint="eastAsia" w:ascii="仿宋_GB2312" w:eastAsia="仿宋_GB2312" w:cs="仿宋_GB2312"/>
          <w:sz w:val="31"/>
          <w:szCs w:val="31"/>
        </w:rPr>
        <w:t>  </w:t>
      </w:r>
    </w:p>
    <w:p w14:paraId="30B178A4">
      <w:pPr>
        <w:pStyle w:val="9"/>
        <w:keepNext w:val="0"/>
        <w:keepLines w:val="0"/>
        <w:widowControl/>
        <w:suppressLineNumbers w:val="0"/>
      </w:pPr>
    </w:p>
    <w:sectPr>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8997C1"/>
    <w:multiLevelType w:val="multilevel"/>
    <w:tmpl w:val="588997C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8509D1"/>
    <w:rsid w:val="77414E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1049</Words>
  <Characters>1186</Characters>
  <TotalTime>12</TotalTime>
  <ScaleCrop>false</ScaleCrop>
  <LinksUpToDate>false</LinksUpToDate>
  <CharactersWithSpaces>1222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2026-03-02T02:15:00Z</dcterms:created>
  <dc:creator>Administrator</dc:creator>
  <cp:lastModifiedBy>爱，不需言语</cp:lastModifiedBy>
  <dcterms:modified xsi:type="dcterms:W3CDTF">2026-03-06T03:00:41Z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015B737832A147899477D556C84CBEF6_13</vt:lpwstr>
  </property>
  <property fmtid="{D5CDD505-2E9C-101B-9397-08002B2CF9AE}" pid="4" name="KSOTemplateDocerSaveRecord">
    <vt:lpwstr>eyJoZGlkIjoiZGRmMGIzYWZlYTg0ZTZjNGM1MzZkYWNhNGZmZjU3ZjMiLCJ1c2VySWQiOiI0MzMwNjAyNTQifQ==</vt:lpwstr>
  </property>
</Properties>
</file>