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52CA3E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32"/>
          <w:szCs w:val="32"/>
          <w:bdr w:val="none" w:color="auto" w:sz="0" w:space="0"/>
        </w:rPr>
        <w:t>海口市五源河学校教师队伍建设项目支出绩效自评报告</w:t>
      </w:r>
    </w:p>
    <w:p w14:paraId="1BB4F9C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</w:pP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  <w:t>评价年度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  <w:t>：2025年</w:t>
      </w:r>
    </w:p>
    <w:p w14:paraId="2AE2CD6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</w:pP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  <w:t>预算单位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  <w:t>：海口市五源河学校</w:t>
      </w:r>
    </w:p>
    <w:p w14:paraId="19D80E3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</w:pP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  <w:t>主管部门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  <w:t>：海口市教育局</w:t>
      </w:r>
    </w:p>
    <w:p w14:paraId="3E917DC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</w:pP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  <w:t>项目负责人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  <w:t>：林春燕</w:t>
      </w:r>
    </w:p>
    <w:p w14:paraId="20E145E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</w:pP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  <w:t>联系电话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  <w:t>：68706059</w:t>
      </w:r>
    </w:p>
    <w:p w14:paraId="165CE38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</w:pP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  <w:t>填报人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  <w:t>：刘含云</w:t>
      </w:r>
    </w:p>
    <w:p w14:paraId="77A7507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  <w:t>项目类别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  <w:t>：部门项目</w:t>
      </w:r>
    </w:p>
    <w:p w14:paraId="19C2D3D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一、项目概况</w:t>
      </w:r>
    </w:p>
    <w:p w14:paraId="09007CC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300" w:firstLineChars="1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（一）项目基本情况</w:t>
      </w:r>
    </w:p>
    <w:p w14:paraId="03C32EB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  <w:t>本项目为海口市五源河学校核心师资保障类部门项目，资金全额由财政资金保障，无专户资金及单位自筹资金。项目核心用于</w:t>
      </w: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  <w:t>临聘教师工资及社保费用足额及时发放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  <w:t>、</w:t>
      </w: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  <w:t>各班级班主任工作经费合规报销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  <w:t>，是补充学校师资力量、稳定教师队伍、保障班主任工作有序开展、夯实学校教育教学师资基础的关键项目，直接支撑学校义务教育阶段教学任务的全面落实，对确保教育教学工作有序开展具有不可或缺的作用。</w:t>
      </w:r>
    </w:p>
    <w:p w14:paraId="642DA27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300" w:firstLineChars="1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（二）项目年度预算绩效目标和绩效指标设定情况</w:t>
      </w:r>
    </w:p>
    <w:p w14:paraId="687E1345"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bookmarkStart w:id="0" w:name="_GoBack"/>
      <w:bookmarkEnd w:id="0"/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总体绩效目标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：严格按照政策及学校管理要求，及时、足额发放临聘教师工资及社保相关费用，合规保障各班级班主任工作经费报销需求，稳定临聘教师队伍，激发班主任工作积极性，夯实学校师资保障体系，确保义务教育阶段各年级教育教学工作有序、高效开展。</w:t>
      </w:r>
    </w:p>
    <w:p w14:paraId="29454A75"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2025 年度绩效目标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：与总体目标高度一致，精准落实财政资金使用要求，足额保障临聘教师薪酬福利及班主任工作经费，实现资金专款专用、支付及时合规，保障师资队伍稳定，确保学校 1-9 年级教育教学工作顺利推进。</w:t>
      </w:r>
    </w:p>
    <w:p w14:paraId="47E283AA"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绩效指标体系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：围绕</w:t>
      </w: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产出、效益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两大维度构建量化与定性相结合的</w:t>
      </w: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一级 - 二级 - 三级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绩效指标体系，明确指标值、评价标准，实现项目绩效可衡量、可考核，核心指标如下：</w:t>
      </w:r>
    </w:p>
    <w:p w14:paraId="758ACEEB"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产出数量指标：保障班主任工作经费发放班级数≥190 个、临聘教师保障人数≥180 人；</w:t>
      </w:r>
    </w:p>
    <w:p w14:paraId="152B0889"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产出现时效指标：临聘教师工资社保、班主任工作经费及时足额支付；</w:t>
      </w:r>
    </w:p>
    <w:p w14:paraId="45C8AC6B"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效益可持续影响指标：有效衔接并完成义务教育阶段教学任务，实现教学质量稳步提升。</w:t>
      </w:r>
    </w:p>
    <w:p w14:paraId="27D22356"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2025 年度目标完成情况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：本项目 2025 年度各项绩效指标均超额或达标完成，临聘教师薪酬及班主任经费保障到位，有效稳定师资队伍，保障教育教学有序开展，项目自评综合得分 99.74 分，绩效成效显著。</w:t>
      </w:r>
    </w:p>
    <w:p w14:paraId="57F1E92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300" w:firstLineChars="1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二、项目决策及资金使用管理情况</w:t>
      </w:r>
    </w:p>
    <w:p w14:paraId="67A2145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300" w:firstLineChars="1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（一）项目决策情况</w:t>
      </w:r>
    </w:p>
    <w:p w14:paraId="7C5CABF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  <w:t>本项目为学校师资保障刚需项目，决策过程严格遵循</w:t>
      </w: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  <w:t>政策合规、需求导向、科学测算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  <w:t>原则，确保项目立项及资金安排贴合学校办学实际。项目立项前，由学校教务处、人事科、财务科联合开展师资需求摸排，精准统计临聘教师实际人数、班主任班级配置情况，结合薪酬标准、经费报销标准开展资金需求精细化测算；项目资金使用方案经学校领导班子集体审议通过后，按规定向主管部门海口市教育局报备，决策依据充分、流程合规，测算数据精准，确保项目决策能够有效支撑师资队伍建设及教育教学工作开展。</w:t>
      </w:r>
    </w:p>
    <w:p w14:paraId="5A1A426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（二）项目资金安排落实、总投入情况</w:t>
      </w:r>
    </w:p>
    <w:p w14:paraId="5C299DE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  <w:t>本项目资金为</w:t>
      </w: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  <w:t>财政全额保障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  <w:t>，无单位自筹及专户资金，全年预算较年初预算略有调减，系根据 2025 年度临聘教师实际配置、班主任班级数动态变化进行的精准优化，资金安排与项目实际实施需求高度匹配，无资金冗余情况，具体预算落实情况如下表：</w:t>
      </w:r>
    </w:p>
    <w:tbl>
      <w:tblPr>
        <w:tblW w:w="0" w:type="auto"/>
        <w:tblCellSpacing w:w="1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90"/>
        <w:gridCol w:w="1956"/>
        <w:gridCol w:w="2134"/>
        <w:gridCol w:w="1956"/>
        <w:gridCol w:w="1430"/>
      </w:tblGrid>
      <w:tr w14:paraId="6DC1A0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tblCellSpacing w:w="15" w:type="dxa"/>
        </w:trPr>
        <w:tc>
          <w:tcPr>
            <w:tcW w:w="0" w:type="auto"/>
            <w:shd w:val="clear"/>
            <w:vAlign w:val="center"/>
          </w:tcPr>
          <w:p w14:paraId="6C0B056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资金类型</w:t>
            </w:r>
          </w:p>
        </w:tc>
        <w:tc>
          <w:tcPr>
            <w:tcW w:w="0" w:type="auto"/>
            <w:shd w:val="clear"/>
            <w:vAlign w:val="center"/>
          </w:tcPr>
          <w:p w14:paraId="708B935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年初预算数（元）</w:t>
            </w:r>
          </w:p>
        </w:tc>
        <w:tc>
          <w:tcPr>
            <w:tcW w:w="0" w:type="auto"/>
            <w:shd w:val="clear"/>
            <w:vAlign w:val="center"/>
          </w:tcPr>
          <w:p w14:paraId="47C46C3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全年预算数（元）</w:t>
            </w:r>
          </w:p>
        </w:tc>
        <w:tc>
          <w:tcPr>
            <w:tcW w:w="0" w:type="auto"/>
            <w:shd w:val="clear"/>
            <w:vAlign w:val="center"/>
          </w:tcPr>
          <w:p w14:paraId="2ABE468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预算调整额（元）</w:t>
            </w:r>
          </w:p>
        </w:tc>
        <w:tc>
          <w:tcPr>
            <w:tcW w:w="0" w:type="auto"/>
            <w:shd w:val="clear"/>
            <w:vAlign w:val="center"/>
          </w:tcPr>
          <w:p w14:paraId="26922FD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预算调整幅度</w:t>
            </w:r>
          </w:p>
        </w:tc>
      </w:tr>
      <w:tr w14:paraId="4D59C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/>
            <w:vAlign w:val="center"/>
          </w:tcPr>
          <w:p w14:paraId="5FC4026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财政资金</w:t>
            </w:r>
          </w:p>
        </w:tc>
        <w:tc>
          <w:tcPr>
            <w:tcW w:w="0" w:type="auto"/>
            <w:shd w:val="clear"/>
            <w:vAlign w:val="center"/>
          </w:tcPr>
          <w:p w14:paraId="034C34D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11047200</w:t>
            </w:r>
          </w:p>
        </w:tc>
        <w:tc>
          <w:tcPr>
            <w:tcW w:w="0" w:type="auto"/>
            <w:shd w:val="clear"/>
            <w:vAlign w:val="center"/>
          </w:tcPr>
          <w:p w14:paraId="2872A91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11027636.56</w:t>
            </w:r>
          </w:p>
        </w:tc>
        <w:tc>
          <w:tcPr>
            <w:tcW w:w="0" w:type="auto"/>
            <w:shd w:val="clear"/>
            <w:vAlign w:val="center"/>
          </w:tcPr>
          <w:p w14:paraId="48F72DA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-19563.44</w:t>
            </w:r>
          </w:p>
        </w:tc>
        <w:tc>
          <w:tcPr>
            <w:tcW w:w="0" w:type="auto"/>
            <w:shd w:val="clear"/>
            <w:vAlign w:val="center"/>
          </w:tcPr>
          <w:p w14:paraId="07627E2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≈-0.18%</w:t>
            </w:r>
          </w:p>
        </w:tc>
      </w:tr>
      <w:tr w14:paraId="395C88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/>
            <w:vAlign w:val="center"/>
          </w:tcPr>
          <w:p w14:paraId="2FC76C9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专户资金</w:t>
            </w:r>
          </w:p>
        </w:tc>
        <w:tc>
          <w:tcPr>
            <w:tcW w:w="0" w:type="auto"/>
            <w:shd w:val="clear"/>
            <w:vAlign w:val="center"/>
          </w:tcPr>
          <w:p w14:paraId="3B533FB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/>
            <w:vAlign w:val="center"/>
          </w:tcPr>
          <w:p w14:paraId="3012DCB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/>
            <w:vAlign w:val="center"/>
          </w:tcPr>
          <w:p w14:paraId="4CCA468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/>
            <w:vAlign w:val="center"/>
          </w:tcPr>
          <w:p w14:paraId="52CE8F9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-</w:t>
            </w:r>
          </w:p>
        </w:tc>
      </w:tr>
      <w:tr w14:paraId="7A736D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/>
            <w:vAlign w:val="center"/>
          </w:tcPr>
          <w:p w14:paraId="14BC59E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单位资金</w:t>
            </w:r>
          </w:p>
        </w:tc>
        <w:tc>
          <w:tcPr>
            <w:tcW w:w="0" w:type="auto"/>
            <w:shd w:val="clear"/>
            <w:vAlign w:val="center"/>
          </w:tcPr>
          <w:p w14:paraId="6116E47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/>
            <w:vAlign w:val="center"/>
          </w:tcPr>
          <w:p w14:paraId="240E135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/>
            <w:vAlign w:val="center"/>
          </w:tcPr>
          <w:p w14:paraId="44CA8EE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/>
            <w:vAlign w:val="center"/>
          </w:tcPr>
          <w:p w14:paraId="1F64CC4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-</w:t>
            </w:r>
          </w:p>
        </w:tc>
      </w:tr>
      <w:tr w14:paraId="3EAA2B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/>
            <w:vAlign w:val="center"/>
          </w:tcPr>
          <w:p w14:paraId="167FDED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Style w:val="12"/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资金总额</w:t>
            </w:r>
          </w:p>
        </w:tc>
        <w:tc>
          <w:tcPr>
            <w:tcW w:w="0" w:type="auto"/>
            <w:shd w:val="clear"/>
            <w:vAlign w:val="center"/>
          </w:tcPr>
          <w:p w14:paraId="5342208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Style w:val="12"/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11047200</w:t>
            </w:r>
          </w:p>
        </w:tc>
        <w:tc>
          <w:tcPr>
            <w:tcW w:w="0" w:type="auto"/>
            <w:shd w:val="clear"/>
            <w:vAlign w:val="center"/>
          </w:tcPr>
          <w:p w14:paraId="7B1240E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Style w:val="12"/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11027636.56</w:t>
            </w:r>
          </w:p>
        </w:tc>
        <w:tc>
          <w:tcPr>
            <w:tcW w:w="0" w:type="auto"/>
            <w:shd w:val="clear"/>
            <w:vAlign w:val="center"/>
          </w:tcPr>
          <w:p w14:paraId="645EE83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Style w:val="12"/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-19563.44</w:t>
            </w:r>
          </w:p>
        </w:tc>
        <w:tc>
          <w:tcPr>
            <w:tcW w:w="0" w:type="auto"/>
            <w:shd w:val="clear"/>
            <w:vAlign w:val="center"/>
          </w:tcPr>
          <w:p w14:paraId="4E00B9F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Style w:val="12"/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≈-0.18%</w:t>
            </w:r>
          </w:p>
        </w:tc>
      </w:tr>
    </w:tbl>
    <w:p w14:paraId="158CA2C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300" w:firstLineChars="1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（三）项目资金实际使用情况</w:t>
      </w:r>
    </w:p>
    <w:p w14:paraId="2558A9B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  <w:t>项目资金严格按照预算用途专款专用，全部用于临聘教师工资社保支付及班主任工作经费报销，无挤占、挪用、截留、超范围使用等违规情况。资金全年执行数 10746446.05 元，执行率 97.45%，未执行资金系部分临聘教师社保清算、班主任经费尾款按财务流程延后支付，均为合理未付资金，无资金闲置、沉淀问题，具体执行情况如下表：</w:t>
      </w:r>
    </w:p>
    <w:tbl>
      <w:tblPr>
        <w:tblW w:w="0" w:type="auto"/>
        <w:tblCellSpacing w:w="1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54"/>
        <w:gridCol w:w="2188"/>
        <w:gridCol w:w="2188"/>
        <w:gridCol w:w="930"/>
        <w:gridCol w:w="2106"/>
      </w:tblGrid>
      <w:tr w14:paraId="15FC9A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tblCellSpacing w:w="15" w:type="dxa"/>
        </w:trPr>
        <w:tc>
          <w:tcPr>
            <w:tcW w:w="0" w:type="auto"/>
            <w:shd w:val="clear"/>
            <w:vAlign w:val="center"/>
          </w:tcPr>
          <w:p w14:paraId="0876EB3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资金类型</w:t>
            </w:r>
          </w:p>
        </w:tc>
        <w:tc>
          <w:tcPr>
            <w:tcW w:w="0" w:type="auto"/>
            <w:shd w:val="clear"/>
            <w:vAlign w:val="center"/>
          </w:tcPr>
          <w:p w14:paraId="4F8A921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全年预算数（元）</w:t>
            </w:r>
          </w:p>
        </w:tc>
        <w:tc>
          <w:tcPr>
            <w:tcW w:w="0" w:type="auto"/>
            <w:shd w:val="clear"/>
            <w:vAlign w:val="center"/>
          </w:tcPr>
          <w:p w14:paraId="052AF8C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全年执行数（元）</w:t>
            </w:r>
          </w:p>
        </w:tc>
        <w:tc>
          <w:tcPr>
            <w:tcW w:w="0" w:type="auto"/>
            <w:shd w:val="clear"/>
            <w:vAlign w:val="center"/>
          </w:tcPr>
          <w:p w14:paraId="3B4BC95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执行率</w:t>
            </w:r>
          </w:p>
        </w:tc>
        <w:tc>
          <w:tcPr>
            <w:tcW w:w="0" w:type="auto"/>
            <w:shd w:val="clear"/>
            <w:vAlign w:val="center"/>
          </w:tcPr>
          <w:p w14:paraId="4AA83A5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未执行金额（元）</w:t>
            </w:r>
          </w:p>
        </w:tc>
      </w:tr>
      <w:tr w14:paraId="392E30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/>
            <w:vAlign w:val="center"/>
          </w:tcPr>
          <w:p w14:paraId="114B8D7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财政资金</w:t>
            </w:r>
          </w:p>
        </w:tc>
        <w:tc>
          <w:tcPr>
            <w:tcW w:w="0" w:type="auto"/>
            <w:shd w:val="clear"/>
            <w:vAlign w:val="center"/>
          </w:tcPr>
          <w:p w14:paraId="27D62FE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11027636.56</w:t>
            </w:r>
          </w:p>
        </w:tc>
        <w:tc>
          <w:tcPr>
            <w:tcW w:w="0" w:type="auto"/>
            <w:shd w:val="clear"/>
            <w:vAlign w:val="center"/>
          </w:tcPr>
          <w:p w14:paraId="71F4058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10746446.05</w:t>
            </w:r>
          </w:p>
        </w:tc>
        <w:tc>
          <w:tcPr>
            <w:tcW w:w="0" w:type="auto"/>
            <w:shd w:val="clear"/>
            <w:vAlign w:val="center"/>
          </w:tcPr>
          <w:p w14:paraId="1594B3C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97.45%</w:t>
            </w:r>
          </w:p>
        </w:tc>
        <w:tc>
          <w:tcPr>
            <w:tcW w:w="0" w:type="auto"/>
            <w:shd w:val="clear"/>
            <w:vAlign w:val="center"/>
          </w:tcPr>
          <w:p w14:paraId="53D9B94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281190.51</w:t>
            </w:r>
          </w:p>
        </w:tc>
      </w:tr>
      <w:tr w14:paraId="1305D4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/>
            <w:vAlign w:val="center"/>
          </w:tcPr>
          <w:p w14:paraId="67A9C61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专户资金</w:t>
            </w:r>
          </w:p>
        </w:tc>
        <w:tc>
          <w:tcPr>
            <w:tcW w:w="0" w:type="auto"/>
            <w:shd w:val="clear"/>
            <w:vAlign w:val="center"/>
          </w:tcPr>
          <w:p w14:paraId="71CB373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/>
            <w:vAlign w:val="center"/>
          </w:tcPr>
          <w:p w14:paraId="7C44C45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/>
            <w:vAlign w:val="center"/>
          </w:tcPr>
          <w:p w14:paraId="472C70C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0%</w:t>
            </w:r>
          </w:p>
        </w:tc>
        <w:tc>
          <w:tcPr>
            <w:tcW w:w="0" w:type="auto"/>
            <w:shd w:val="clear"/>
            <w:vAlign w:val="center"/>
          </w:tcPr>
          <w:p w14:paraId="0F6DA17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0</w:t>
            </w:r>
          </w:p>
        </w:tc>
      </w:tr>
      <w:tr w14:paraId="26973F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/>
            <w:vAlign w:val="center"/>
          </w:tcPr>
          <w:p w14:paraId="690E378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单位资金</w:t>
            </w:r>
          </w:p>
        </w:tc>
        <w:tc>
          <w:tcPr>
            <w:tcW w:w="0" w:type="auto"/>
            <w:shd w:val="clear"/>
            <w:vAlign w:val="center"/>
          </w:tcPr>
          <w:p w14:paraId="523BF21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/>
            <w:vAlign w:val="center"/>
          </w:tcPr>
          <w:p w14:paraId="1CC2636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/>
            <w:vAlign w:val="center"/>
          </w:tcPr>
          <w:p w14:paraId="47C68E4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0%</w:t>
            </w:r>
          </w:p>
        </w:tc>
        <w:tc>
          <w:tcPr>
            <w:tcW w:w="0" w:type="auto"/>
            <w:shd w:val="clear"/>
            <w:vAlign w:val="center"/>
          </w:tcPr>
          <w:p w14:paraId="2E66A83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0</w:t>
            </w:r>
          </w:p>
        </w:tc>
      </w:tr>
      <w:tr w14:paraId="6079E7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/>
            <w:vAlign w:val="center"/>
          </w:tcPr>
          <w:p w14:paraId="7D4E7B5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Style w:val="12"/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资金总额</w:t>
            </w:r>
          </w:p>
        </w:tc>
        <w:tc>
          <w:tcPr>
            <w:tcW w:w="0" w:type="auto"/>
            <w:shd w:val="clear"/>
            <w:vAlign w:val="center"/>
          </w:tcPr>
          <w:p w14:paraId="71C1CF7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Style w:val="12"/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11027636.56</w:t>
            </w:r>
          </w:p>
        </w:tc>
        <w:tc>
          <w:tcPr>
            <w:tcW w:w="0" w:type="auto"/>
            <w:shd w:val="clear"/>
            <w:vAlign w:val="center"/>
          </w:tcPr>
          <w:p w14:paraId="1D9FC98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Style w:val="12"/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10746446.05</w:t>
            </w:r>
          </w:p>
        </w:tc>
        <w:tc>
          <w:tcPr>
            <w:tcW w:w="0" w:type="auto"/>
            <w:shd w:val="clear"/>
            <w:vAlign w:val="center"/>
          </w:tcPr>
          <w:p w14:paraId="0DF522A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Style w:val="12"/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97.45%</w:t>
            </w:r>
          </w:p>
        </w:tc>
        <w:tc>
          <w:tcPr>
            <w:tcW w:w="0" w:type="auto"/>
            <w:shd w:val="clear"/>
            <w:vAlign w:val="center"/>
          </w:tcPr>
          <w:p w14:paraId="1FFA9B9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Style w:val="12"/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281190.51</w:t>
            </w:r>
          </w:p>
        </w:tc>
      </w:tr>
    </w:tbl>
    <w:p w14:paraId="6533275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（四）项目资金管理情况</w:t>
      </w:r>
    </w:p>
    <w:p w14:paraId="30FF4785"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制度保障健全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：学校严格执行《预算法》《中小学财务管理制度》《海口市义务教育学校经费管理办法》等相关规定，结合本校实际制定《临聘教师薪酬管理办法》《班主任工作经费报销细则》《财务内部控制制度》，明确项目资金使用范围、支付标准、审批流程，形成制度化、规范化的资金管理体系，确保资金使用有章可循。</w:t>
      </w:r>
    </w:p>
    <w:p w14:paraId="56766A2A"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流程管控严格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：建立“科室提报 - 审核确认 - 分级审批 - 资金支付 - 核算归档”的全流程资金管控机制。人事科提报临聘教师工资社保发放清单，教务处提报班主任工作经费报销明细，均经科室负责人、校领导审核签字后，由财务科对单据真实性、合规性进行双重核查，符合要求后按财务流程支付资金，全程留存凭证，做到账证相符、有据可查。</w:t>
      </w:r>
    </w:p>
    <w:p w14:paraId="4A8FF179"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动态监控到位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：财务科定期对项目资金执行进度开展统计分析，每月与人事科、教务处核对资金支付及使用情况，及时掌握预算执行偏差，针对未支付资金逐一核查原因，结合实际工作进度优化支付计划，确保资金支付与项目实施进度同步，提升资金使用效率。</w:t>
      </w:r>
    </w:p>
    <w:p w14:paraId="65DB381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300" w:firstLineChars="1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三、项目组织实施情况</w:t>
      </w:r>
    </w:p>
    <w:p w14:paraId="51E5D70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300" w:firstLineChars="1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（一）项目组织情况</w:t>
      </w:r>
    </w:p>
    <w:p w14:paraId="6EB7794E"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分工明确，协同联动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：学校建立由</w:t>
      </w: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人事科、教务处、财务科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为核心的项目实施工作小组，明确各部门核心职责，形成协同联动的实施机制。人事科负责临聘教师招聘、考勤、工资社保核算及发放清单编制；教务处负责班主任配置、工作考核及经费报销资料审核；财务科负责资金预算、支付、核算及全流程财务管控，各部门各司其职、无缝衔接，确保项目各项工作有序推进。</w:t>
      </w:r>
    </w:p>
    <w:p w14:paraId="3ED179AF"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精准落实，动态调整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：项目实施过程中，针对临聘教师队伍动态变化、班主任班级调整等情况，由人事科、教务处及时更新相关数据，报财务科调整资金使用计划，调整流程履行校内审核程序，确保资金使用与实际工作需求高度匹配，精准保障师资经费需求。</w:t>
      </w:r>
    </w:p>
    <w:p w14:paraId="1E8C4E96"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规范验收，全程留痕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：每月完成临聘教师工资社保发放、班主任工作经费报销后，由财务科编制资金支付明细表，经人事科、教务处核对确认后形成验收记录；每季度开展项目实施情况汇总验收，核查资金使用合规性、数据准确性，所有验收资料、支付凭证统一归档管理，实现项目实施全程留痕、可追溯。</w:t>
      </w:r>
    </w:p>
    <w:p w14:paraId="152D4AC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（二）项目管理情况</w:t>
      </w:r>
    </w:p>
    <w:p w14:paraId="6E110837"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管理制度完善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：在资金管理基础上，学校完善《临聘教师管理办法》《班主任工作考核办法》等配套制度，将临聘教师薪酬发放与工作考核挂钩、班主任工作经费报销与工作成效结合，明确考核标准、报销范围，确保项目资金使用与师资队伍管理深度融合，提升资金使用效益。</w:t>
      </w:r>
    </w:p>
    <w:p w14:paraId="5DBCE544"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日常监督严格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：建立 “日常核查 + 定期督查” 的双重监督机制。人事科、教务处每日核查临聘教师到岗、班主任工作开展情况，确保薪酬及经费发放对象精准；财务科每周核查资金支付流程合规性；学校纪检小组每季度开展项目专项督查，重点检查资金使用、薪酬发放、经费报销的合规性，杜绝违规操作。</w:t>
      </w:r>
    </w:p>
    <w:p w14:paraId="0AD0678D"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台账管理规范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：对项目实施全过程建立标准化台账，包括临聘教师基本信息及薪酬发放台账、班主任班级配置及经费报销台账、资金支付凭证及财务核算台账等，做到台账信息完整、数据准确、更新及时，为项目绩效评价、后续工作开展提供坚实的数据支撑。</w:t>
      </w:r>
    </w:p>
    <w:p w14:paraId="0AB7989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300" w:firstLineChars="1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四、项目绩效情况</w:t>
      </w:r>
    </w:p>
    <w:p w14:paraId="000647A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  <w:t>本项目 2025 年度各项绩效指标均超额或达标完成，自评综合得分 99.74 分，从</w:t>
      </w: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  <w:t>经济性、效率性、有效性、可持续性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  <w:t>四大维度分析，项目资金使用效益充分发挥，全面实现预设绩效目标，为学校教师队伍建设和教育教学工作开展提供了坚实的经费保障，具体分析如下：</w:t>
      </w:r>
    </w:p>
    <w:p w14:paraId="3CDE782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（一）项目绩效目标完成情况</w:t>
      </w:r>
    </w:p>
    <w:p w14:paraId="75CA836C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300" w:firstLineChars="1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经济性分析：成本管控精准，资金使用高效</w:t>
      </w:r>
    </w:p>
    <w:p w14:paraId="3FAEF2A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  <w:t>本项目严格执行精细化预算管控，实现成本控制与资金精准使用的双重目标：一是预算编制贴合实际，根据师资实际需求动态调整全年预算，预算调减幅度仅 0.18%，资金安排精准无冗余；二是资金执行合规高效，执行率达 97.45%，未执行资金均为合理延后支付款项，无资金浪费、闲置情况；三是专款专用严控成本，资金全部用于临聘教师薪酬及班主任经费，无超范围、超标准开支，在保障师资需求的前提下，最大限度提升财政资金的使用经济性。</w:t>
      </w:r>
    </w:p>
    <w:p w14:paraId="64EC83E8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效率性分析：实施进度高效，指标超额完成</w:t>
      </w:r>
    </w:p>
    <w:p w14:paraId="00D0922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  <w:t>项目实施全程严格按照年度工作计划推进，实施效率优异，核心产出指标均</w:t>
      </w: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  <w:t>超额完成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  <w:t>，时效指标</w:t>
      </w: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  <w:t>达标完成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  <w:t>：</w:t>
      </w:r>
    </w:p>
    <w:p w14:paraId="7C3425AC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cstheme="minorEastAsia"/>
          <w:b w:val="0"/>
          <w:bCs w:val="0"/>
          <w:color w:val="000000"/>
          <w:sz w:val="30"/>
          <w:szCs w:val="30"/>
          <w:bdr w:val="none" w:color="auto" w:sz="0" w:space="0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数量指标超额完成：2025 年度实际保障班主任工作经费发放班级数 204 个，远超≥190 个的年度指标；实际保障临聘教师人数 189 人，超额完成≥180 人的年度指标，超额完成率分别达 7.37%、5%，充分保障了学校师资配置及班主任工作开展需求；</w:t>
      </w:r>
    </w:p>
    <w:p w14:paraId="25919C12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cstheme="minorEastAsia"/>
          <w:b w:val="0"/>
          <w:bCs w:val="0"/>
          <w:color w:val="000000"/>
          <w:sz w:val="30"/>
          <w:szCs w:val="30"/>
          <w:bdr w:val="none" w:color="auto" w:sz="0" w:space="0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时效指标精准达标：严格按照每月薪酬发放、经费报销时间节点，及时、足额完成临聘教师工资社保支付及班主任工作经费报销，无拖欠、延迟情况，支付及时率 100%，确保师资队伍稳定及班主任工作有序开展。</w:t>
      </w:r>
    </w:p>
    <w:p w14:paraId="63D06E07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有效性分析：师资保障到位，教学有序开展</w:t>
      </w:r>
    </w:p>
    <w:p w14:paraId="51D605E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  <w:t>项目资金的足额投入和规范使用，实现了 “稳师资、促教学、提效能” 的核心目标，实施效果显著：</w:t>
      </w:r>
    </w:p>
    <w:p w14:paraId="6882FCBF"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稳定师资队伍：及时足额的薪酬福利保障，有效稳定了临聘教师队伍，2025 年度临聘教师到岗率 100%、流失率低，为学校义务教育阶段教学任务的完成补充了充足的师资力量；</w:t>
      </w:r>
    </w:p>
    <w:p w14:paraId="03ECBBE7"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激发班主任工作积极性：合规、及时的工作经费保障，解决了班主任工作的实际经费需求，充分激发了班主任的工作主动性和积极性，班级管理成效显著；</w:t>
      </w:r>
    </w:p>
    <w:p w14:paraId="17878D36"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保障教学有序开展：通过师资和经费的双重保障，学校各年级、各班级教学配置到位，课堂教学、班级管理、课后服务等各项教育教学工作有序开展，无因师资不足导致的教学工作停滞情况，实现了 “保障教育教学有序开展” 的核心目标。</w:t>
      </w:r>
    </w:p>
    <w:p w14:paraId="1E543632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300" w:firstLineChars="1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 xml:space="preserve"> 可持续性分析：多维保障健全，长效支撑教学</w:t>
      </w:r>
    </w:p>
    <w:p w14:paraId="676E9F8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300" w:firstLineChars="1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  <w:t>本项目作为学校教师队伍建设的核心保障项目，在</w:t>
      </w: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  <w:t>政策、资金、管理、人员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  <w:t>等方面均具备坚实的可持续性基础，能够长期为学校师资队伍建设和教育教学工作提供稳定支撑：</w:t>
      </w:r>
    </w:p>
    <w:p w14:paraId="121D6A44"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政策层面：义务教育阶段师资保障是国家及地方教育发展的核心要求，上级主管部门持续出台相关政策支持义务教育学校师资队伍建设，为项目实施提供长期、稳定的政策支撑；</w:t>
      </w:r>
    </w:p>
    <w:p w14:paraId="1AF20357"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资金层面：项目资金由财政全额预算保障，海口市财政局、教育局将根据学校办学规模、师资需求、薪酬标准变化等因素，持续足额安排年度预算，资金来源可靠、可持续；</w:t>
      </w:r>
    </w:p>
    <w:p w14:paraId="0A002FA0"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管理层面：学校已建立完善的项目管理制度、资金管控体系和组织实施机制，形成了成熟的 “人事 - 教务 - 财务” 协同管理模式，后续可根据办学发展需求持续优化，为项目长期实施提供制度保障；</w:t>
      </w:r>
    </w:p>
    <w:p w14:paraId="5E88FBF0"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人员层面：项目实施的各部门工作人员队伍稳定，具备丰富的师资管理、经费核算及财务管控经验，能够保障项目长期高效推进，持续支撑学校师资队伍建设。</w:t>
      </w:r>
    </w:p>
    <w:p w14:paraId="19AE5C72"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项目绩效目标未完成情况及原因分析</w:t>
      </w:r>
    </w:p>
    <w:p w14:paraId="78250664">
      <w:pPr>
        <w:pStyle w:val="4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 w:rightChars="0" w:firstLine="300" w:firstLineChars="100"/>
        <w:jc w:val="left"/>
        <w:outlineLvl w:val="2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  <w:t>2025 年度本项目核心绩效指标均超额或达标完成，仅因资金执行率未达 100%（97.45%）导致自评得分扣 0.26 分，无其他未完成绩效目标的情况。资金执行率未达 100% 的核心原因系：</w:t>
      </w: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  <w:t>部分临聘教师年度社保清算款项需待社保部门核定后支付、少量班主任工作经费尾款因报销资料补充完善延后至次年初支付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  <w:t>，上述未执行资金均为合理财务流程延后支付，非项目实施或管理问题，不影响项目绩效目标的整体实现。</w:t>
      </w:r>
    </w:p>
    <w:p w14:paraId="6C0774D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五、其他需要说明的问题</w:t>
      </w:r>
    </w:p>
    <w:p w14:paraId="3588980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300" w:firstLineChars="1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（一）主要经验及做法</w:t>
      </w:r>
    </w:p>
    <w:p w14:paraId="2EFBECFC"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需求导向，精准测算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：始终以学校师资建设实际需求为核心，由人事、教务、财务部门联合开展师资摸排和资金测算，结合师资动态变化调整预算，确保项目资金安排精准贴合实际，从源头提升资金使用效益。</w:t>
      </w:r>
    </w:p>
    <w:p w14:paraId="6862AF02"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制度先行，规范管理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：构建 “财务管理制度 + 师资管理办法 + 经费报销细则” 的全方位制度体系，明确项目资金使用、薪酬发放、经费报销的全流程要求，实现项目实施和资金管理的制度化、规范化，从制度层面规避管理风险。</w:t>
      </w:r>
    </w:p>
    <w:p w14:paraId="3CE8F585"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分工协同，高效推进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：建立人事、教务、财务三部门协同联动的实施机制，明确各部门职责边界，实现师资统计、经费审核、资金支付的无缝衔接，提升项目实施效率，确保各项工作按时、按质完成。</w:t>
      </w:r>
    </w:p>
    <w:p w14:paraId="145DD2A0"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全程管控，合规高效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：推行 “提报 - 审核 - 审批 - 支付 - 归档” 的全流程资金管控，结合日常核查和定期督查，实现资金使用和项目实施的全程监控，确保资金专款专用、支付合规，项目实施全程留痕、可追溯。</w:t>
      </w:r>
    </w:p>
    <w:p w14:paraId="5ACF5EC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（二）存在问题</w:t>
      </w:r>
    </w:p>
    <w:p w14:paraId="0F975556"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预算编制的前瞻性需进一步提升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：虽实现预算精准测算，但针对社保政策调整、临聘教师队伍小幅动态变化等突发情况的预判不足，导致部分资金支付延后，影响资金执行率；</w:t>
      </w:r>
    </w:p>
    <w:p w14:paraId="438B98C1"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绩效指标体系的精细化程度需优化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：目前绩效指标以数量、时效类为主，针对</w:t>
      </w: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临聘教师教学成效、班主任工作质量、资金使用效益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等方面的精细化评价指标不足，指标体系的全面性和深度有待拓展；</w:t>
      </w:r>
    </w:p>
    <w:p w14:paraId="2F64F300"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数字化管理水平需进一步提升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：项目实施中的师资信息、薪酬发放、经费报销等台账目前以线下结合线上部分记录为主，数字化台账管理平台尚未完善，数据统计、分析及共享效率有待提升。</w:t>
      </w:r>
    </w:p>
    <w:p w14:paraId="64D8DFE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（三）改进措施和有关建议</w:t>
      </w:r>
    </w:p>
    <w:p w14:paraId="12EC03FE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300" w:firstLineChars="1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 xml:space="preserve"> 内部改进措施</w:t>
      </w:r>
    </w:p>
    <w:p w14:paraId="26AEA40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300" w:firstLineChars="1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  <w:t>（1）提升预算编制前瞻性：建立</w:t>
      </w: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  <w:t>学校师资及经费需求动态数据库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  <w:t>，整合历年临聘教师、班主任配置数据，实时跟踪社保政策、薪酬标准变化，预算编制前充分考虑政策调整、师资动态变化等因素，预留合理资金弹性，提高预算编制的精准度和前瞻性，减少资金支付延后情况，提升资金执行率。（2）完善绩效指标体系：构建“数量 + 时效 + 质量 + 效益”</w:t>
      </w: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  <w:t>的多维绩效评价体系，新增临聘教师教学合格率、班主任工作考核优秀率、师资队伍稳定率、资金使用效益率等精细化指标，实现从 “基础指标评价”向“全方位、精细化效益评价” 的转变，更全面反映项目实施成效。（3）优化数字化管理水平：加快推进项目管理数字化建设，搭建集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  <w:t>师资信息、薪酬核算、经费报销、资金支付、数据统计</w:t>
      </w: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  <w:t>于一体的线上管理平台，实现各部门数据实时共享、动态更新，提升项目实施和资金管理的信息化、智能化水平，提高工作效率。（4）优化资金支付流程：针对社保清算、经费尾款等延后支付情况，建立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  <w:t>提前对接、精准核定、及时支付的工作机制，加强与社保部门的提前沟通，加快报销资料审核效率，最大限度缩短资金支付周期，提升资金执行率。</w:t>
      </w:r>
    </w:p>
    <w:p w14:paraId="056BD73D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 xml:space="preserve"> 有关建议</w:t>
      </w:r>
    </w:p>
    <w:p w14:paraId="772BB35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  <w:t>（1）对主管部门的建议：建议海口市教育局、财政局定期组织义务教育学校开展</w:t>
      </w: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  <w:t>师资队伍建设经费管理、预算编制、绩效评价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  <w:t>等方面的业务培训和经验交流，分享先进的管理模式和数字化建设案例，提升学校人事、财务管理人员的专业能力；同时建立社保政策、薪酬标准调整的提前告知机制，为学校预算编制提供参考。（2）政策层面的建议：建议上级部门结合区域物价水平、社保政策调整、义务教育办学需求变化，建立</w:t>
      </w: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  <w:t>义务教育学校师资保障经费动态调整机制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  <w:t>，适时调整临聘教师薪酬标准、班主任工作经费保障标准，确保师资保障经费与实际需求相匹配，进一步稳定义务教育学校师资队伍。</w:t>
      </w:r>
    </w:p>
    <w:p w14:paraId="6A8831E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bdr w:val="none" w:color="auto" w:sz="0" w:space="0"/>
        </w:rPr>
        <w:t>六、自评结论</w:t>
      </w:r>
    </w:p>
    <w:p w14:paraId="0F36CFD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  <w:t>2025 年度海口市五源河学校教师队伍建设项目，严格按照上级主管部门要求及学校管理制度推进实施，项目决策科学合规、资金使用规范高效、组织实施有序可控、核心绩效指标超额完成，资金使用效益充分发挥。项目通过足额、及时保障临聘教师工资社保及班主任工作经费，有效稳定了学校师资队伍，激发了班主任工作积极性，全面保障了学校义务教育阶段教育教学工作有序开展，实现了预设的各项绩效目标。</w:t>
      </w:r>
    </w:p>
    <w:p w14:paraId="455182A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  <w:t>本次项目绩效自评综合得分为</w:t>
      </w: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  <w:t>99.74 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  <w:t>，自评结论为</w:t>
      </w: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  <w:t>优秀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  <w:t>。未达满分的原因系部分资金因财务流程延后支付导致执行率未达 100%，学校将针对性制定改进措施，优化预算编制和资金支付流程，提升项目管理精细化、数字化水平。</w:t>
      </w:r>
    </w:p>
    <w:p w14:paraId="57D2544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  <w:t>今后，学校将以此次自评为契机，总结管理经验，固化优秀做法，针对存在的问题及时整改优化，持续完善项目管理制度和绩效指标体系，进一步强化资金使用精细化管控，推动项目管理效能持续提升，确保教师队伍建设项目能够长期、高效为学校义务教育办学和师资队伍建设提供稳定、坚实的经费保障，助力学校教育教学质量稳步提升。</w:t>
      </w:r>
    </w:p>
    <w:p w14:paraId="39D3AA4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</w:pPr>
    </w:p>
    <w:p w14:paraId="62E7D01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</w:pPr>
    </w:p>
    <w:p w14:paraId="1A681C3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3900" w:firstLineChars="13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  <w:t>海口市五源河学校</w:t>
      </w:r>
    </w:p>
    <w:p w14:paraId="3508042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3900" w:firstLineChars="13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  <w:t>202</w:t>
      </w:r>
      <w:r>
        <w:rPr>
          <w:rFonts w:hint="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  <w:t>6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  <w:t xml:space="preserve">年 </w:t>
      </w:r>
      <w:r>
        <w:rPr>
          <w:rFonts w:hint="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  <w:t>3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  <w:t xml:space="preserve"> 月</w:t>
      </w:r>
      <w:r>
        <w:rPr>
          <w:rFonts w:hint="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  <w:t>6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  <w:t xml:space="preserve"> 日</w:t>
      </w:r>
    </w:p>
    <w:p w14:paraId="69D0DC43">
      <w:pPr>
        <w:pStyle w:val="9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</w:rPr>
        <w:t xml:space="preserve">  </w:t>
      </w:r>
    </w:p>
    <w:p w14:paraId="14203A68">
      <w:pPr>
        <w:pStyle w:val="9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</w:rPr>
        <w:t xml:space="preserve">  </w:t>
      </w:r>
    </w:p>
    <w:p w14:paraId="5E0F50C7">
      <w:pPr>
        <w:pStyle w:val="9"/>
        <w:keepNext w:val="0"/>
        <w:keepLines w:val="0"/>
        <w:widowControl/>
        <w:suppressLineNumbers w:val="0"/>
        <w:spacing w:line="525" w:lineRule="atLeast"/>
        <w:ind w:left="0" w:firstLine="645"/>
      </w:pPr>
      <w:r>
        <w:rPr>
          <w:rFonts w:hint="eastAsia" w:ascii="仿宋_GB2312" w:eastAsia="仿宋_GB2312" w:cs="仿宋_GB2312"/>
          <w:sz w:val="31"/>
          <w:szCs w:val="31"/>
        </w:rPr>
        <w:t>  </w:t>
      </w:r>
    </w:p>
    <w:p w14:paraId="4FEA0BBE">
      <w:pPr>
        <w:pStyle w:val="9"/>
        <w:keepNext w:val="0"/>
        <w:keepLines w:val="0"/>
        <w:widowControl/>
        <w:suppressLineNumbers w:val="0"/>
      </w:pPr>
    </w:p>
    <w:sectPr>
      <w:pgSz w:w="11906" w:h="16839"/>
      <w:pgMar w:top="1440" w:right="1800" w:bottom="1440" w:left="1800" w:header="851" w:footer="992" w:gutter="0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DFD63C"/>
    <w:multiLevelType w:val="multilevel"/>
    <w:tmpl w:val="A7DFD63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E35F08"/>
    <w:rsid w:val="509027C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Theme="minorEastAsia" w:hAnsiTheme="minorEastAsia" w:eastAsiaTheme="minorEastAsia" w:cstheme="minorEastAsia"/>
      <w:kern w:val="0"/>
      <w:sz w:val="24"/>
      <w:szCs w:val="24"/>
      <w:lang w:val="en-US" w:eastAsia="zh-CN" w:bidi="ar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paragraph" w:styleId="6">
    <w:name w:val="heading 5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paragraph" w:styleId="7">
    <w:name w:val="heading 6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15"/>
      <w:szCs w:val="15"/>
      <w:lang w:val="en-US" w:eastAsia="zh-CN" w:bidi="ar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2">
    <w:name w:val="Strong"/>
    <w:basedOn w:val="11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1079</Words>
  <Characters>1199</Characters>
  <TotalTime>14</TotalTime>
  <ScaleCrop>false</ScaleCrop>
  <LinksUpToDate>false</LinksUpToDate>
  <CharactersWithSpaces>1235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2026-03-02T02:26:00Z</dcterms:created>
  <dc:creator>Administrator</dc:creator>
  <cp:lastModifiedBy>爱，不需言语</cp:lastModifiedBy>
  <dcterms:modified xsi:type="dcterms:W3CDTF">2026-03-06T02:39:57Z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B427ED4C1E2A46AA988C676DD6BB275C_13</vt:lpwstr>
  </property>
  <property fmtid="{D5CDD505-2E9C-101B-9397-08002B2CF9AE}" pid="4" name="KSOTemplateDocerSaveRecord">
    <vt:lpwstr>eyJoZGlkIjoiZGRmMGIzYWZlYTg0ZTZjNGM1MzZkYWNhNGZmZjU3ZjMiLCJ1c2VySWQiOiI0MzMwNjAyNTQifQ==</vt:lpwstr>
  </property>
</Properties>
</file>