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1B9B8C4">
      <w:pPr>
        <w:pStyle w:val="9"/>
        <w:keepNext w:val="0"/>
        <w:keepLines w:val="0"/>
        <w:widowControl/>
        <w:suppressLineNumbers w:val="0"/>
        <w:spacing w:line="525" w:lineRule="atLeast"/>
        <w:ind w:left="0" w:firstLine="225"/>
        <w:jc w:val="center"/>
        <w:rPr>
          <w:rStyle w:val="12"/>
          <w:rFonts w:hint="eastAsia" w:ascii="宋体" w:hAnsi="宋体" w:eastAsia="宋体" w:cs="宋体"/>
          <w:sz w:val="43"/>
          <w:szCs w:val="43"/>
        </w:rPr>
      </w:pPr>
    </w:p>
    <w:p w14:paraId="0C5E75B8">
      <w:pPr>
        <w:pStyle w:val="9"/>
        <w:keepNext w:val="0"/>
        <w:keepLines w:val="0"/>
        <w:widowControl/>
        <w:suppressLineNumbers w:val="0"/>
        <w:spacing w:line="525" w:lineRule="atLeast"/>
        <w:jc w:val="center"/>
        <w:rPr>
          <w:b w:val="0"/>
          <w:bCs/>
        </w:rPr>
      </w:pPr>
      <w:r>
        <w:rPr>
          <w:rStyle w:val="12"/>
          <w:rFonts w:hint="eastAsia" w:ascii="宋体" w:hAnsi="宋体" w:eastAsia="宋体" w:cs="宋体"/>
          <w:b w:val="0"/>
          <w:bCs/>
          <w:sz w:val="43"/>
          <w:szCs w:val="43"/>
        </w:rPr>
        <w:t>海口市</w:t>
      </w:r>
      <w:r>
        <w:rPr>
          <w:rStyle w:val="12"/>
          <w:rFonts w:hint="eastAsia" w:ascii="宋体" w:hAnsi="宋体" w:eastAsia="宋体" w:cs="宋体"/>
          <w:b w:val="0"/>
          <w:bCs/>
          <w:sz w:val="43"/>
          <w:szCs w:val="43"/>
          <w:lang w:val="en-US" w:eastAsia="zh-CN"/>
        </w:rPr>
        <w:t>五源河学校城乡义务教育生均公用经费</w:t>
      </w:r>
      <w:r>
        <w:rPr>
          <w:rStyle w:val="12"/>
          <w:rFonts w:hint="eastAsia" w:ascii="宋体" w:hAnsi="宋体" w:eastAsia="宋体" w:cs="宋体"/>
          <w:b w:val="0"/>
          <w:bCs/>
          <w:sz w:val="43"/>
          <w:szCs w:val="43"/>
        </w:rPr>
        <w:t>支出绩效自评报告</w:t>
      </w:r>
    </w:p>
    <w:p w14:paraId="711FA0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900" w:firstLineChars="30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sz w:val="30"/>
          <w:szCs w:val="30"/>
          <w:shd w:val="clear" w:fill="FFFFFF"/>
        </w:rPr>
        <w:t>一、项目概况</w:t>
      </w:r>
    </w:p>
    <w:p w14:paraId="5BFE03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00" w:firstLineChars="20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sz w:val="30"/>
          <w:szCs w:val="30"/>
          <w:shd w:val="clear" w:fill="FFFFFF"/>
        </w:rPr>
        <w:t>（一）项目基本情况</w:t>
      </w:r>
    </w:p>
    <w:p w14:paraId="508C18C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tLeast"/>
        <w:ind w:left="0" w:right="0" w:firstLine="600" w:firstLineChars="20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shd w:val="clear" w:fill="FFFFFF"/>
          <w:lang w:val="en-US" w:eastAsia="zh-CN" w:bidi="ar"/>
        </w:rPr>
        <w:t>本项目预算单位为海口市五源河学校，主管部门为海口市教育局，项目负责人为伍人坛，联系电话 68706076，项目类别归属</w:t>
      </w:r>
      <w:r>
        <w:rPr>
          <w:rStyle w:val="12"/>
          <w:rFonts w:hint="eastAsia" w:asciiTheme="minorEastAsia" w:hAnsiTheme="minorEastAsia" w:eastAsiaTheme="minorEastAsia" w:cstheme="minorEastAsia"/>
          <w:b w:val="0"/>
          <w:bCs/>
          <w:color w:val="000000"/>
          <w:kern w:val="0"/>
          <w:sz w:val="30"/>
          <w:szCs w:val="30"/>
          <w:shd w:val="clear" w:fill="FFFFFF"/>
          <w:lang w:val="en-US" w:eastAsia="zh-CN" w:bidi="ar"/>
        </w:rPr>
        <w:t>其他运转类</w:t>
      </w:r>
      <w:r>
        <w:rPr>
          <w:rFonts w:hint="eastAsia" w:asciiTheme="minorEastAsia" w:hAnsiTheme="minorEastAsia" w:eastAsiaTheme="minorEastAsia" w:cstheme="minorEastAsia"/>
          <w:b w:val="0"/>
          <w:bCs/>
          <w:color w:val="000000"/>
          <w:kern w:val="0"/>
          <w:sz w:val="30"/>
          <w:szCs w:val="30"/>
          <w:shd w:val="clear" w:fill="FFFFFF"/>
          <w:lang w:val="en-US" w:eastAsia="zh-CN" w:bidi="ar"/>
        </w:rPr>
        <w:t>。城乡义务教育生均公用经费项目是保障义务教育阶段学校正常运转的基础性财政保障项目，本项目资金专项用于海口市五源河学校教育教学活动开展、图书馆运营维护、校园校舍日常修缮、零星工程实施等日常运转相关开支，是维持学校教育教学秩序、保障办学基本条件的重要资金支撑，助力学校落实义务教育办学要求，提升校园办学保障能力。</w:t>
      </w:r>
    </w:p>
    <w:p w14:paraId="207DC4A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00" w:firstLineChars="10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sz w:val="30"/>
          <w:szCs w:val="30"/>
          <w:shd w:val="clear" w:fill="FFFFFF"/>
        </w:rPr>
        <w:t>（二）项目年度预算绩效目标和绩效指标设定情况</w:t>
      </w:r>
    </w:p>
    <w:p w14:paraId="0A4F4BA6">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color w:val="000000"/>
          <w:sz w:val="30"/>
          <w:szCs w:val="30"/>
        </w:rPr>
      </w:pPr>
      <w:r>
        <w:rPr>
          <w:rStyle w:val="12"/>
          <w:rFonts w:hint="eastAsia" w:asciiTheme="minorEastAsia" w:hAnsiTheme="minorEastAsia" w:eastAsiaTheme="minorEastAsia" w:cstheme="minorEastAsia"/>
          <w:b w:val="0"/>
          <w:bCs/>
          <w:color w:val="000000"/>
          <w:sz w:val="30"/>
          <w:szCs w:val="30"/>
          <w:shd w:val="clear" w:fill="FFFFFF"/>
        </w:rPr>
        <w:t>总体绩效目标</w:t>
      </w:r>
      <w:r>
        <w:rPr>
          <w:rFonts w:hint="eastAsia" w:asciiTheme="minorEastAsia" w:hAnsiTheme="minorEastAsia" w:eastAsiaTheme="minorEastAsia" w:cstheme="minorEastAsia"/>
          <w:b w:val="0"/>
          <w:bCs/>
          <w:color w:val="000000"/>
          <w:sz w:val="30"/>
          <w:szCs w:val="30"/>
          <w:shd w:val="clear" w:fill="FFFFFF"/>
        </w:rPr>
        <w:t>：统筹使用生均公用经费，保障学校教育教学、图书馆运营、校园校舍日常维护维修、零星工程等各项日常运转工作有序开展，夯实学校办学物质基础，确保教育教学活动正常进行，为义务教育阶段教育教学质量提升提供稳定的运营保障。</w:t>
      </w:r>
    </w:p>
    <w:p w14:paraId="57785E53">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color w:val="000000"/>
          <w:sz w:val="30"/>
          <w:szCs w:val="30"/>
        </w:rPr>
      </w:pPr>
      <w:r>
        <w:rPr>
          <w:rStyle w:val="12"/>
          <w:rFonts w:hint="eastAsia" w:asciiTheme="minorEastAsia" w:hAnsiTheme="minorEastAsia" w:eastAsiaTheme="minorEastAsia" w:cstheme="minorEastAsia"/>
          <w:b w:val="0"/>
          <w:bCs/>
          <w:color w:val="000000"/>
          <w:sz w:val="30"/>
          <w:szCs w:val="30"/>
          <w:shd w:val="clear" w:fill="FFFFFF"/>
        </w:rPr>
        <w:t>2025年度绩效目标</w:t>
      </w:r>
      <w:r>
        <w:rPr>
          <w:rFonts w:hint="eastAsia" w:asciiTheme="minorEastAsia" w:hAnsiTheme="minorEastAsia" w:eastAsiaTheme="minorEastAsia" w:cstheme="minorEastAsia"/>
          <w:b w:val="0"/>
          <w:bCs/>
          <w:color w:val="000000"/>
          <w:sz w:val="30"/>
          <w:szCs w:val="30"/>
          <w:shd w:val="clear" w:fill="FFFFFF"/>
        </w:rPr>
        <w:t>：精准拨付并规范使用城乡义务教育生均公用经费，足额保障学校各类教育教学耗材采购、图书馆软硬件维护、校园校舍日常</w:t>
      </w:r>
      <w:r>
        <w:rPr>
          <w:rFonts w:hint="eastAsia" w:cstheme="minorEastAsia"/>
          <w:b w:val="0"/>
          <w:bCs/>
          <w:color w:val="000000"/>
          <w:sz w:val="30"/>
          <w:szCs w:val="30"/>
          <w:shd w:val="clear" w:fill="FFFFFF"/>
          <w:lang w:val="en-US" w:eastAsia="zh-CN"/>
        </w:rPr>
        <w:t>维修</w:t>
      </w:r>
      <w:r>
        <w:rPr>
          <w:rFonts w:hint="eastAsia" w:asciiTheme="minorEastAsia" w:hAnsiTheme="minorEastAsia" w:eastAsiaTheme="minorEastAsia" w:cstheme="minorEastAsia"/>
          <w:b w:val="0"/>
          <w:bCs/>
          <w:color w:val="000000"/>
          <w:sz w:val="30"/>
          <w:szCs w:val="30"/>
          <w:shd w:val="clear" w:fill="FFFFFF"/>
        </w:rPr>
        <w:t>、零星工程施工等开支需求，实现资金专款专用、高效使用，全面保障学校2025年度教育教学工作正常运转。</w:t>
      </w:r>
    </w:p>
    <w:p w14:paraId="6596624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color w:val="000000"/>
          <w:sz w:val="30"/>
          <w:szCs w:val="30"/>
        </w:rPr>
      </w:pPr>
      <w:r>
        <w:rPr>
          <w:rStyle w:val="12"/>
          <w:rFonts w:hint="eastAsia" w:asciiTheme="minorEastAsia" w:hAnsiTheme="minorEastAsia" w:eastAsiaTheme="minorEastAsia" w:cstheme="minorEastAsia"/>
          <w:b w:val="0"/>
          <w:bCs/>
          <w:color w:val="000000"/>
          <w:sz w:val="30"/>
          <w:szCs w:val="30"/>
          <w:shd w:val="clear" w:fill="FFFFFF"/>
        </w:rPr>
        <w:t>当年年度目标完成情况</w:t>
      </w:r>
      <w:r>
        <w:rPr>
          <w:rFonts w:hint="eastAsia" w:asciiTheme="minorEastAsia" w:hAnsiTheme="minorEastAsia" w:eastAsiaTheme="minorEastAsia" w:cstheme="minorEastAsia"/>
          <w:b w:val="0"/>
          <w:bCs/>
          <w:color w:val="000000"/>
          <w:sz w:val="30"/>
          <w:szCs w:val="30"/>
          <w:shd w:val="clear" w:fill="FFFFFF"/>
        </w:rPr>
        <w:t>：2025年本项目资金已按预算执行到位，足额保障了学校教育教学、校园维护、零星工程等各项日常运转开支，顺利完成年度绩效目标，学校教育教学秩序稳定，办学保障能力得到有效巩固。</w:t>
      </w:r>
    </w:p>
    <w:p w14:paraId="389250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00" w:firstLineChars="20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sz w:val="30"/>
          <w:szCs w:val="30"/>
          <w:shd w:val="clear" w:fill="FFFFFF"/>
        </w:rPr>
        <w:t>二、项目决策及资金使用管理情况</w:t>
      </w:r>
    </w:p>
    <w:p w14:paraId="322975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00" w:firstLineChars="10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sz w:val="30"/>
          <w:szCs w:val="30"/>
          <w:shd w:val="clear" w:fill="FFFFFF"/>
        </w:rPr>
        <w:t>（一）项目决策情况</w:t>
      </w:r>
    </w:p>
    <w:p w14:paraId="1BC2CDB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tLeast"/>
        <w:ind w:left="0" w:right="0" w:firstLine="600" w:firstLineChars="20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shd w:val="clear" w:fill="FFFFFF"/>
          <w:lang w:val="en-US" w:eastAsia="zh-CN" w:bidi="ar"/>
        </w:rPr>
        <w:t>本项目属于城乡义务教育领域法定保障性项目，决策严格遵循《中华人民共和国义务教育法》《城乡义务教育补助经费管理办法》等国家及地方相关政策规定，由海口市教育局根据义务教育学校办学规模、生均经费核定标准及学校实际运转需求，统筹测算并下达预算指标，海口市五源河学校结合本校办学实际编制项目资金使用计划，项目决策程序合规、依据充分，资金测算贴合学校实际运转需求，确保了项目决策的科学性、合理性和合规性。</w:t>
      </w:r>
    </w:p>
    <w:p w14:paraId="4FEBDC5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00" w:firstLineChars="20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sz w:val="30"/>
          <w:szCs w:val="30"/>
          <w:shd w:val="clear" w:fill="FFFFFF"/>
        </w:rPr>
        <w:t>（二）项目资金安排落实、总投入情况</w:t>
      </w:r>
    </w:p>
    <w:p w14:paraId="732EAB4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shd w:val="clear" w:fill="FFFFFF"/>
          <w:lang w:val="en-US" w:eastAsia="zh-CN" w:bidi="ar"/>
        </w:rPr>
        <w:t>本项目资金全部为财政资金，无专户资金及单位自筹资金投入，资金预算安排随学校办学实际需求动态调整，具体预算情况如下：</w:t>
      </w:r>
    </w:p>
    <w:tbl>
      <w:tblPr>
        <w:tblStyle w:val="10"/>
        <w:tblW w:w="0" w:type="auto"/>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4910"/>
        <w:gridCol w:w="1260"/>
        <w:gridCol w:w="1260"/>
        <w:gridCol w:w="936"/>
      </w:tblGrid>
      <w:tr w14:paraId="6CEF9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Header/>
          <w:tblCellSpacing w:w="15" w:type="dxa"/>
        </w:trPr>
        <w:tc>
          <w:tcPr>
            <w:tcW w:w="0" w:type="auto"/>
            <w:shd w:val="clear" w:color="auto" w:fill="auto"/>
            <w:vAlign w:val="center"/>
          </w:tcPr>
          <w:p w14:paraId="00E1B2AB">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资金类型</w:t>
            </w:r>
          </w:p>
        </w:tc>
        <w:tc>
          <w:tcPr>
            <w:tcW w:w="0" w:type="auto"/>
            <w:shd w:val="clear" w:color="auto" w:fill="auto"/>
            <w:vAlign w:val="center"/>
          </w:tcPr>
          <w:p w14:paraId="1F34491C">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年初预算数（元）</w:t>
            </w:r>
          </w:p>
        </w:tc>
        <w:tc>
          <w:tcPr>
            <w:tcW w:w="0" w:type="auto"/>
            <w:shd w:val="clear" w:color="auto" w:fill="auto"/>
            <w:vAlign w:val="center"/>
          </w:tcPr>
          <w:p w14:paraId="357F1255">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全年预算数（元）</w:t>
            </w:r>
          </w:p>
        </w:tc>
        <w:tc>
          <w:tcPr>
            <w:tcW w:w="0" w:type="auto"/>
            <w:shd w:val="clear" w:color="auto" w:fill="auto"/>
            <w:vAlign w:val="center"/>
          </w:tcPr>
          <w:p w14:paraId="760B352A">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预算调整幅度</w:t>
            </w:r>
          </w:p>
        </w:tc>
      </w:tr>
      <w:tr w14:paraId="3B0CC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W w:w="0" w:type="auto"/>
            <w:shd w:val="clear" w:color="auto" w:fill="auto"/>
            <w:vAlign w:val="center"/>
          </w:tcPr>
          <w:p w14:paraId="1C652271">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财政资金</w:t>
            </w:r>
          </w:p>
        </w:tc>
        <w:tc>
          <w:tcPr>
            <w:tcW w:w="0" w:type="auto"/>
            <w:shd w:val="clear" w:color="auto" w:fill="auto"/>
            <w:vAlign w:val="center"/>
          </w:tcPr>
          <w:p w14:paraId="1FCF6A07">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7120001</w:t>
            </w:r>
          </w:p>
        </w:tc>
        <w:tc>
          <w:tcPr>
            <w:tcW w:w="0" w:type="auto"/>
            <w:shd w:val="clear" w:color="auto" w:fill="auto"/>
            <w:vAlign w:val="center"/>
          </w:tcPr>
          <w:p w14:paraId="71EF6D76">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7677371</w:t>
            </w:r>
          </w:p>
        </w:tc>
        <w:tc>
          <w:tcPr>
            <w:tcW w:w="0" w:type="auto"/>
            <w:shd w:val="clear" w:color="auto" w:fill="auto"/>
            <w:vAlign w:val="center"/>
          </w:tcPr>
          <w:p w14:paraId="35FCBDBF">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约 7.83%</w:t>
            </w:r>
          </w:p>
        </w:tc>
      </w:tr>
      <w:tr w14:paraId="16DAD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W w:w="0" w:type="auto"/>
            <w:shd w:val="clear" w:color="auto" w:fill="auto"/>
            <w:vAlign w:val="center"/>
          </w:tcPr>
          <w:p w14:paraId="12EFABE3">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专户资金</w:t>
            </w:r>
          </w:p>
        </w:tc>
        <w:tc>
          <w:tcPr>
            <w:tcW w:w="0" w:type="auto"/>
            <w:shd w:val="clear" w:color="auto" w:fill="auto"/>
            <w:vAlign w:val="center"/>
          </w:tcPr>
          <w:p w14:paraId="3E1FC11E">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0</w:t>
            </w:r>
          </w:p>
        </w:tc>
        <w:tc>
          <w:tcPr>
            <w:tcW w:w="0" w:type="auto"/>
            <w:shd w:val="clear" w:color="auto" w:fill="auto"/>
            <w:vAlign w:val="center"/>
          </w:tcPr>
          <w:p w14:paraId="269F6FA5">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0</w:t>
            </w:r>
          </w:p>
        </w:tc>
        <w:tc>
          <w:tcPr>
            <w:tcW w:w="0" w:type="auto"/>
            <w:shd w:val="clear" w:color="auto" w:fill="auto"/>
            <w:vAlign w:val="center"/>
          </w:tcPr>
          <w:p w14:paraId="3BDB38B8">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w:t>
            </w:r>
          </w:p>
        </w:tc>
      </w:tr>
      <w:tr w14:paraId="04EFB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W w:w="0" w:type="auto"/>
            <w:shd w:val="clear" w:color="auto" w:fill="auto"/>
            <w:vAlign w:val="center"/>
          </w:tcPr>
          <w:p w14:paraId="5AF4855D">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单位自筹资金</w:t>
            </w:r>
          </w:p>
        </w:tc>
        <w:tc>
          <w:tcPr>
            <w:tcW w:w="0" w:type="auto"/>
            <w:shd w:val="clear" w:color="auto" w:fill="auto"/>
            <w:vAlign w:val="center"/>
          </w:tcPr>
          <w:p w14:paraId="7540207B">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0</w:t>
            </w:r>
          </w:p>
        </w:tc>
        <w:tc>
          <w:tcPr>
            <w:tcW w:w="0" w:type="auto"/>
            <w:shd w:val="clear" w:color="auto" w:fill="auto"/>
            <w:vAlign w:val="center"/>
          </w:tcPr>
          <w:p w14:paraId="5C304AB0">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0</w:t>
            </w:r>
          </w:p>
        </w:tc>
        <w:tc>
          <w:tcPr>
            <w:tcW w:w="0" w:type="auto"/>
            <w:shd w:val="clear" w:color="auto" w:fill="auto"/>
            <w:vAlign w:val="center"/>
          </w:tcPr>
          <w:p w14:paraId="5DC95DD4">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w:t>
            </w:r>
          </w:p>
        </w:tc>
      </w:tr>
      <w:tr w14:paraId="0F5C8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W w:w="0" w:type="auto"/>
            <w:shd w:val="clear" w:color="auto" w:fill="auto"/>
            <w:vAlign w:val="center"/>
          </w:tcPr>
          <w:p w14:paraId="02236DA2">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资金总额</w:t>
            </w:r>
          </w:p>
        </w:tc>
        <w:tc>
          <w:tcPr>
            <w:tcW w:w="0" w:type="auto"/>
            <w:shd w:val="clear" w:color="auto" w:fill="auto"/>
            <w:vAlign w:val="center"/>
          </w:tcPr>
          <w:p w14:paraId="4ABB639B">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7120001</w:t>
            </w:r>
          </w:p>
        </w:tc>
        <w:tc>
          <w:tcPr>
            <w:tcW w:w="0" w:type="auto"/>
            <w:shd w:val="clear" w:color="auto" w:fill="auto"/>
            <w:vAlign w:val="center"/>
          </w:tcPr>
          <w:p w14:paraId="1B24E1F6">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7677371</w:t>
            </w:r>
          </w:p>
        </w:tc>
        <w:tc>
          <w:tcPr>
            <w:tcW w:w="0" w:type="auto"/>
            <w:shd w:val="clear" w:color="auto" w:fill="auto"/>
            <w:vAlign w:val="center"/>
          </w:tcPr>
          <w:p w14:paraId="58D4F695">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约 7.83%</w:t>
            </w:r>
          </w:p>
        </w:tc>
      </w:tr>
      <w:tr w14:paraId="20AC8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W w:w="0" w:type="auto"/>
            <w:shd w:val="clear" w:color="auto" w:fill="auto"/>
            <w:vAlign w:val="center"/>
          </w:tcPr>
          <w:p w14:paraId="052FC7DA">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全年预算较年初预算调增 557370 元，主要系学校根据 2025 年度教育教学实际开展需求，对校园校舍维护、零星工程等开支进行合理测算后，按规定完成预算调整流程，预算调整贴合学校实际运转需要，保障了办学各项开支需求。</w:t>
            </w:r>
          </w:p>
        </w:tc>
        <w:tc>
          <w:tcPr>
            <w:tcW w:w="0" w:type="auto"/>
            <w:shd w:val="clear" w:color="auto" w:fill="auto"/>
            <w:vAlign w:val="center"/>
          </w:tcPr>
          <w:p w14:paraId="349D8FD8">
            <w:pPr>
              <w:jc w:val="left"/>
              <w:rPr>
                <w:rFonts w:hint="eastAsia" w:asciiTheme="minorEastAsia" w:hAnsiTheme="minorEastAsia" w:eastAsiaTheme="minorEastAsia" w:cstheme="minorEastAsia"/>
                <w:b w:val="0"/>
                <w:bCs/>
                <w:color w:val="000000"/>
                <w:sz w:val="30"/>
                <w:szCs w:val="30"/>
              </w:rPr>
            </w:pPr>
          </w:p>
        </w:tc>
        <w:tc>
          <w:tcPr>
            <w:tcW w:w="0" w:type="auto"/>
            <w:shd w:val="clear" w:color="auto" w:fill="auto"/>
            <w:vAlign w:val="center"/>
          </w:tcPr>
          <w:p w14:paraId="1197CB28">
            <w:pPr>
              <w:jc w:val="left"/>
              <w:rPr>
                <w:rFonts w:hint="eastAsia" w:asciiTheme="minorEastAsia" w:hAnsiTheme="minorEastAsia" w:eastAsiaTheme="minorEastAsia" w:cstheme="minorEastAsia"/>
                <w:b w:val="0"/>
                <w:bCs/>
                <w:color w:val="000000"/>
                <w:sz w:val="30"/>
                <w:szCs w:val="30"/>
              </w:rPr>
            </w:pPr>
          </w:p>
        </w:tc>
        <w:tc>
          <w:tcPr>
            <w:tcW w:w="0" w:type="auto"/>
            <w:shd w:val="clear" w:color="auto" w:fill="auto"/>
            <w:vAlign w:val="center"/>
          </w:tcPr>
          <w:p w14:paraId="3DA529EF">
            <w:pPr>
              <w:jc w:val="left"/>
              <w:rPr>
                <w:rFonts w:hint="eastAsia" w:asciiTheme="minorEastAsia" w:hAnsiTheme="minorEastAsia" w:eastAsiaTheme="minorEastAsia" w:cstheme="minorEastAsia"/>
                <w:b w:val="0"/>
                <w:bCs/>
                <w:color w:val="000000"/>
                <w:sz w:val="30"/>
                <w:szCs w:val="30"/>
              </w:rPr>
            </w:pPr>
          </w:p>
        </w:tc>
      </w:tr>
    </w:tbl>
    <w:p w14:paraId="031BD6F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00" w:firstLineChars="10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sz w:val="30"/>
          <w:szCs w:val="30"/>
          <w:shd w:val="clear" w:fill="FFFFFF"/>
        </w:rPr>
        <w:t>（三）项目资金实际使用情况</w:t>
      </w:r>
    </w:p>
    <w:p w14:paraId="20F3632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tLeast"/>
        <w:ind w:left="0" w:right="0" w:firstLine="300" w:firstLineChars="10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shd w:val="clear" w:fill="FFFFFF"/>
          <w:lang w:val="en-US" w:eastAsia="zh-CN" w:bidi="ar"/>
        </w:rPr>
        <w:t>本项目资金严格按照预算用途使用，无挤占、挪用、截留等情况，资金执行进度良好，具体执行情况如下：</w:t>
      </w:r>
    </w:p>
    <w:tbl>
      <w:tblPr>
        <w:tblStyle w:val="10"/>
        <w:tblW w:w="0" w:type="auto"/>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4525"/>
        <w:gridCol w:w="1644"/>
        <w:gridCol w:w="1252"/>
        <w:gridCol w:w="945"/>
      </w:tblGrid>
      <w:tr w14:paraId="18569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blHeader/>
          <w:tblCellSpacing w:w="15" w:type="dxa"/>
        </w:trPr>
        <w:tc>
          <w:tcPr>
            <w:tcW w:w="0" w:type="auto"/>
            <w:shd w:val="clear" w:color="auto" w:fill="auto"/>
            <w:vAlign w:val="center"/>
          </w:tcPr>
          <w:p w14:paraId="3341B200">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资金类型</w:t>
            </w:r>
          </w:p>
        </w:tc>
        <w:tc>
          <w:tcPr>
            <w:tcW w:w="0" w:type="auto"/>
            <w:shd w:val="clear" w:color="auto" w:fill="auto"/>
            <w:vAlign w:val="center"/>
          </w:tcPr>
          <w:p w14:paraId="15C096A2">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全年执行数（元）</w:t>
            </w:r>
          </w:p>
        </w:tc>
        <w:tc>
          <w:tcPr>
            <w:tcW w:w="0" w:type="auto"/>
            <w:shd w:val="clear" w:color="auto" w:fill="auto"/>
            <w:vAlign w:val="center"/>
          </w:tcPr>
          <w:p w14:paraId="1A57D341">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全年预算数（元）</w:t>
            </w:r>
          </w:p>
        </w:tc>
        <w:tc>
          <w:tcPr>
            <w:tcW w:w="0" w:type="auto"/>
            <w:shd w:val="clear" w:color="auto" w:fill="auto"/>
            <w:vAlign w:val="center"/>
          </w:tcPr>
          <w:p w14:paraId="25F3080A">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执行率</w:t>
            </w:r>
          </w:p>
        </w:tc>
      </w:tr>
      <w:tr w14:paraId="67192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W w:w="0" w:type="auto"/>
            <w:shd w:val="clear" w:color="auto" w:fill="auto"/>
            <w:vAlign w:val="center"/>
          </w:tcPr>
          <w:p w14:paraId="044C1EF6">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财政资金</w:t>
            </w:r>
          </w:p>
        </w:tc>
        <w:tc>
          <w:tcPr>
            <w:tcW w:w="0" w:type="auto"/>
            <w:shd w:val="clear" w:color="auto" w:fill="auto"/>
            <w:vAlign w:val="center"/>
          </w:tcPr>
          <w:p w14:paraId="0C6BD0C7">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7618286.58</w:t>
            </w:r>
          </w:p>
        </w:tc>
        <w:tc>
          <w:tcPr>
            <w:tcW w:w="0" w:type="auto"/>
            <w:shd w:val="clear" w:color="auto" w:fill="auto"/>
            <w:vAlign w:val="center"/>
          </w:tcPr>
          <w:p w14:paraId="31DE53E1">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7677371</w:t>
            </w:r>
          </w:p>
        </w:tc>
        <w:tc>
          <w:tcPr>
            <w:tcW w:w="0" w:type="auto"/>
            <w:shd w:val="clear" w:color="auto" w:fill="auto"/>
            <w:vAlign w:val="center"/>
          </w:tcPr>
          <w:p w14:paraId="0EC93F02">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99.23%</w:t>
            </w:r>
          </w:p>
        </w:tc>
      </w:tr>
      <w:tr w14:paraId="44D9C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W w:w="0" w:type="auto"/>
            <w:shd w:val="clear" w:color="auto" w:fill="auto"/>
            <w:vAlign w:val="center"/>
          </w:tcPr>
          <w:p w14:paraId="06E5B30E">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专户资金</w:t>
            </w:r>
          </w:p>
        </w:tc>
        <w:tc>
          <w:tcPr>
            <w:tcW w:w="0" w:type="auto"/>
            <w:shd w:val="clear" w:color="auto" w:fill="auto"/>
            <w:vAlign w:val="center"/>
          </w:tcPr>
          <w:p w14:paraId="084176AB">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0</w:t>
            </w:r>
          </w:p>
        </w:tc>
        <w:tc>
          <w:tcPr>
            <w:tcW w:w="0" w:type="auto"/>
            <w:shd w:val="clear" w:color="auto" w:fill="auto"/>
            <w:vAlign w:val="center"/>
          </w:tcPr>
          <w:p w14:paraId="1795F84F">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0</w:t>
            </w:r>
          </w:p>
        </w:tc>
        <w:tc>
          <w:tcPr>
            <w:tcW w:w="0" w:type="auto"/>
            <w:shd w:val="clear" w:color="auto" w:fill="auto"/>
            <w:vAlign w:val="center"/>
          </w:tcPr>
          <w:p w14:paraId="6B54CE36">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0</w:t>
            </w:r>
          </w:p>
        </w:tc>
      </w:tr>
      <w:tr w14:paraId="43C6B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W w:w="0" w:type="auto"/>
            <w:shd w:val="clear" w:color="auto" w:fill="auto"/>
            <w:vAlign w:val="center"/>
          </w:tcPr>
          <w:p w14:paraId="5D5501EA">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单位自筹资金</w:t>
            </w:r>
          </w:p>
        </w:tc>
        <w:tc>
          <w:tcPr>
            <w:tcW w:w="0" w:type="auto"/>
            <w:shd w:val="clear" w:color="auto" w:fill="auto"/>
            <w:vAlign w:val="center"/>
          </w:tcPr>
          <w:p w14:paraId="3BB1E751">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0</w:t>
            </w:r>
          </w:p>
        </w:tc>
        <w:tc>
          <w:tcPr>
            <w:tcW w:w="0" w:type="auto"/>
            <w:shd w:val="clear" w:color="auto" w:fill="auto"/>
            <w:vAlign w:val="center"/>
          </w:tcPr>
          <w:p w14:paraId="3E5DBFE2">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0</w:t>
            </w:r>
          </w:p>
        </w:tc>
        <w:tc>
          <w:tcPr>
            <w:tcW w:w="0" w:type="auto"/>
            <w:shd w:val="clear" w:color="auto" w:fill="auto"/>
            <w:vAlign w:val="center"/>
          </w:tcPr>
          <w:p w14:paraId="5EE876F8">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0</w:t>
            </w:r>
          </w:p>
        </w:tc>
      </w:tr>
      <w:tr w14:paraId="71FC8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W w:w="0" w:type="auto"/>
            <w:shd w:val="clear" w:color="auto" w:fill="auto"/>
            <w:vAlign w:val="center"/>
          </w:tcPr>
          <w:p w14:paraId="6A1F166B">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资金总额</w:t>
            </w:r>
          </w:p>
        </w:tc>
        <w:tc>
          <w:tcPr>
            <w:tcW w:w="0" w:type="auto"/>
            <w:shd w:val="clear" w:color="auto" w:fill="auto"/>
            <w:vAlign w:val="center"/>
          </w:tcPr>
          <w:p w14:paraId="26A56710">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7618286.58</w:t>
            </w:r>
          </w:p>
        </w:tc>
        <w:tc>
          <w:tcPr>
            <w:tcW w:w="0" w:type="auto"/>
            <w:shd w:val="clear" w:color="auto" w:fill="auto"/>
            <w:vAlign w:val="center"/>
          </w:tcPr>
          <w:p w14:paraId="285FED3C">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7677371</w:t>
            </w:r>
          </w:p>
        </w:tc>
        <w:tc>
          <w:tcPr>
            <w:tcW w:w="0" w:type="auto"/>
            <w:shd w:val="clear" w:color="auto" w:fill="auto"/>
            <w:vAlign w:val="center"/>
          </w:tcPr>
          <w:p w14:paraId="624621C7">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99.23%</w:t>
            </w:r>
          </w:p>
        </w:tc>
      </w:tr>
      <w:tr w14:paraId="3D9BB3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W w:w="0" w:type="auto"/>
            <w:shd w:val="clear" w:color="auto" w:fill="auto"/>
            <w:vAlign w:val="center"/>
          </w:tcPr>
          <w:p w14:paraId="1BBF0228">
            <w:pPr>
              <w:keepNext w:val="0"/>
              <w:keepLines w:val="0"/>
              <w:widowControl/>
              <w:suppressLineNumbers w:val="0"/>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lang w:val="en-US" w:eastAsia="zh-CN" w:bidi="ar"/>
              </w:rPr>
              <w:t>未执行完毕的资金共计 59084.42 元，主要系部分零星工程尾款根据合同约定待项目验收完成后支付，资金支付严格遵循合同条款及财务管理制度，未执行资金均为合理未付尾款，无资金沉淀、闲置情况。</w:t>
            </w:r>
          </w:p>
        </w:tc>
        <w:tc>
          <w:tcPr>
            <w:tcW w:w="0" w:type="auto"/>
            <w:shd w:val="clear" w:color="auto" w:fill="auto"/>
            <w:vAlign w:val="center"/>
          </w:tcPr>
          <w:p w14:paraId="6A18D1B0">
            <w:pPr>
              <w:jc w:val="left"/>
              <w:rPr>
                <w:rFonts w:hint="eastAsia" w:asciiTheme="minorEastAsia" w:hAnsiTheme="minorEastAsia" w:eastAsiaTheme="minorEastAsia" w:cstheme="minorEastAsia"/>
                <w:b w:val="0"/>
                <w:bCs/>
                <w:color w:val="000000"/>
                <w:sz w:val="30"/>
                <w:szCs w:val="30"/>
              </w:rPr>
            </w:pPr>
          </w:p>
        </w:tc>
        <w:tc>
          <w:tcPr>
            <w:tcW w:w="0" w:type="auto"/>
            <w:shd w:val="clear" w:color="auto" w:fill="auto"/>
            <w:vAlign w:val="center"/>
          </w:tcPr>
          <w:p w14:paraId="1A204E7C">
            <w:pPr>
              <w:jc w:val="left"/>
              <w:rPr>
                <w:rFonts w:hint="eastAsia" w:asciiTheme="minorEastAsia" w:hAnsiTheme="minorEastAsia" w:eastAsiaTheme="minorEastAsia" w:cstheme="minorEastAsia"/>
                <w:b w:val="0"/>
                <w:bCs/>
                <w:color w:val="000000"/>
                <w:sz w:val="30"/>
                <w:szCs w:val="30"/>
              </w:rPr>
            </w:pPr>
          </w:p>
        </w:tc>
        <w:tc>
          <w:tcPr>
            <w:tcW w:w="0" w:type="auto"/>
            <w:shd w:val="clear" w:color="auto" w:fill="auto"/>
            <w:vAlign w:val="center"/>
          </w:tcPr>
          <w:p w14:paraId="67469BAA">
            <w:pPr>
              <w:jc w:val="left"/>
              <w:rPr>
                <w:rFonts w:hint="eastAsia" w:asciiTheme="minorEastAsia" w:hAnsiTheme="minorEastAsia" w:eastAsiaTheme="minorEastAsia" w:cstheme="minorEastAsia"/>
                <w:b w:val="0"/>
                <w:bCs/>
                <w:color w:val="000000"/>
                <w:sz w:val="30"/>
                <w:szCs w:val="30"/>
              </w:rPr>
            </w:pPr>
          </w:p>
        </w:tc>
      </w:tr>
    </w:tbl>
    <w:p w14:paraId="113D57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00" w:firstLineChars="20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sz w:val="30"/>
          <w:szCs w:val="30"/>
          <w:shd w:val="clear" w:fill="FFFFFF"/>
        </w:rPr>
        <w:t>（四）项目资金管理情况</w:t>
      </w:r>
    </w:p>
    <w:p w14:paraId="3FD911F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tLeast"/>
        <w:ind w:left="0" w:right="0" w:firstLine="600" w:firstLineChars="20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shd w:val="clear" w:fill="FFFFFF"/>
          <w:lang w:val="en-US" w:eastAsia="zh-CN" w:bidi="ar"/>
        </w:rPr>
        <w:t>海口市五源河学校严格执行《预算法》《城乡义务教育补助经费管理办法》《海口市本级学校公用经费管理办法》等相关制度，结合本校实际制定了《公用经费使用管理细则》，建立了 “预算编制 - 资金拨付 - 使用审批 - 核算记账 - 全程监督” 的全流程资金管理体系。资金使用实行 “专款专用、分级审批” 制度，各项开支均需履行部门申请、财务审核、校领导审批的流程，报销凭证需附合法、合规的原始票据及相关佐证材料；财务部门对资金使用情况进行实时核算，定期开展资金使用进度分析，确保资金使用与预算目标一致、与办学需求匹配。本项目资金从预算编制到实际执行，全程严格遵守各项财务管理制度，资金管理规范、流程健全、管控有效。</w:t>
      </w:r>
    </w:p>
    <w:p w14:paraId="714E5C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00" w:firstLineChars="20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sz w:val="30"/>
          <w:szCs w:val="30"/>
          <w:shd w:val="clear" w:fill="FFFFFF"/>
        </w:rPr>
        <w:t>三、项目组织实施情况</w:t>
      </w:r>
    </w:p>
    <w:p w14:paraId="576F643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firstLine="300" w:firstLineChars="10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sz w:val="30"/>
          <w:szCs w:val="30"/>
          <w:shd w:val="clear" w:fill="FFFFFF"/>
        </w:rPr>
        <w:t>（一）项目组织情况</w:t>
      </w:r>
    </w:p>
    <w:p w14:paraId="3656E838">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color w:val="000000"/>
          <w:sz w:val="30"/>
          <w:szCs w:val="30"/>
        </w:rPr>
      </w:pPr>
      <w:r>
        <w:rPr>
          <w:rStyle w:val="12"/>
          <w:rFonts w:hint="eastAsia" w:asciiTheme="minorEastAsia" w:hAnsiTheme="minorEastAsia" w:eastAsiaTheme="minorEastAsia" w:cstheme="minorEastAsia"/>
          <w:b w:val="0"/>
          <w:bCs/>
          <w:color w:val="000000"/>
          <w:sz w:val="30"/>
          <w:szCs w:val="30"/>
          <w:shd w:val="clear" w:fill="FFFFFF"/>
        </w:rPr>
        <w:t>项目实施分工</w:t>
      </w:r>
      <w:r>
        <w:rPr>
          <w:rFonts w:hint="eastAsia" w:asciiTheme="minorEastAsia" w:hAnsiTheme="minorEastAsia" w:eastAsiaTheme="minorEastAsia" w:cstheme="minorEastAsia"/>
          <w:b w:val="0"/>
          <w:bCs/>
          <w:color w:val="000000"/>
          <w:sz w:val="30"/>
          <w:szCs w:val="30"/>
          <w:shd w:val="clear" w:fill="FFFFFF"/>
        </w:rPr>
        <w:t>：学校成立了公用经费使用管理工作小组，由校长担任组长，财务部门、总务处、教务处、图书馆等相关部门为成员，明确各部门职责：教务处负责教育教学相关开支的需求提报和使用监督；总务处负责校园校舍维护、零星工程的实施、验收及相关开支管理；图书馆负责本部门运营维护开支的提报和使用；财务部门负责资金预算、拨付、核算及全流程财务管控，形成了分工明确、协同配合的项目实施机制。</w:t>
      </w:r>
    </w:p>
    <w:p w14:paraId="2CD09273">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color w:val="000000"/>
          <w:sz w:val="30"/>
          <w:szCs w:val="30"/>
        </w:rPr>
      </w:pPr>
      <w:r>
        <w:rPr>
          <w:rStyle w:val="12"/>
          <w:rFonts w:hint="eastAsia" w:asciiTheme="minorEastAsia" w:hAnsiTheme="minorEastAsia" w:eastAsiaTheme="minorEastAsia" w:cstheme="minorEastAsia"/>
          <w:b w:val="0"/>
          <w:bCs/>
          <w:color w:val="000000"/>
          <w:sz w:val="30"/>
          <w:szCs w:val="30"/>
          <w:shd w:val="clear" w:fill="FFFFFF"/>
        </w:rPr>
        <w:t>招投标及采购管理</w:t>
      </w:r>
      <w:r>
        <w:rPr>
          <w:rFonts w:hint="eastAsia" w:asciiTheme="minorEastAsia" w:hAnsiTheme="minorEastAsia" w:eastAsiaTheme="minorEastAsia" w:cstheme="minorEastAsia"/>
          <w:b w:val="0"/>
          <w:bCs/>
          <w:color w:val="000000"/>
          <w:sz w:val="30"/>
          <w:szCs w:val="30"/>
          <w:shd w:val="clear" w:fill="FFFFFF"/>
        </w:rPr>
        <w:t xml:space="preserve">：对于项目中涉及的物资采购、零星工程施工，严格按照《政府采购法》及海口市相关采购管理规定执行：达到公开招标标准的项目，委托专业招标代理机构开展公开招标；未达到招标标准的，采用竞争性谈判、询价等方式确定供应商 </w:t>
      </w:r>
      <w:r>
        <w:rPr>
          <w:rFonts w:hint="eastAsia" w:cstheme="minorEastAsia"/>
          <w:b w:val="0"/>
          <w:bCs/>
          <w:color w:val="000000"/>
          <w:sz w:val="30"/>
          <w:szCs w:val="30"/>
          <w:shd w:val="clear" w:fill="FFFFFF"/>
          <w:lang w:eastAsia="zh-CN"/>
        </w:rPr>
        <w:t>、</w:t>
      </w:r>
      <w:r>
        <w:rPr>
          <w:rFonts w:hint="eastAsia" w:asciiTheme="minorEastAsia" w:hAnsiTheme="minorEastAsia" w:eastAsiaTheme="minorEastAsia" w:cstheme="minorEastAsia"/>
          <w:b w:val="0"/>
          <w:bCs/>
          <w:color w:val="000000"/>
          <w:sz w:val="30"/>
          <w:szCs w:val="30"/>
          <w:shd w:val="clear" w:fill="FFFFFF"/>
        </w:rPr>
        <w:t xml:space="preserve"> 施工单位，确保采购过程公开、公平、公正。</w:t>
      </w:r>
    </w:p>
    <w:p w14:paraId="3D3BE8F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color w:val="000000"/>
          <w:sz w:val="30"/>
          <w:szCs w:val="30"/>
        </w:rPr>
      </w:pPr>
      <w:r>
        <w:rPr>
          <w:rStyle w:val="12"/>
          <w:rFonts w:hint="eastAsia" w:asciiTheme="minorEastAsia" w:hAnsiTheme="minorEastAsia" w:eastAsiaTheme="minorEastAsia" w:cstheme="minorEastAsia"/>
          <w:b w:val="0"/>
          <w:bCs/>
          <w:color w:val="000000"/>
          <w:sz w:val="30"/>
          <w:szCs w:val="30"/>
          <w:shd w:val="clear" w:fill="FFFFFF"/>
        </w:rPr>
        <w:t>项目调整与验收</w:t>
      </w:r>
      <w:r>
        <w:rPr>
          <w:rFonts w:hint="eastAsia" w:asciiTheme="minorEastAsia" w:hAnsiTheme="minorEastAsia" w:eastAsiaTheme="minorEastAsia" w:cstheme="minorEastAsia"/>
          <w:b w:val="0"/>
          <w:bCs/>
          <w:color w:val="000000"/>
          <w:sz w:val="30"/>
          <w:szCs w:val="30"/>
          <w:shd w:val="clear" w:fill="FFFFFF"/>
        </w:rPr>
        <w:t>：项目实施过程中，若因办学实际需求需对资金使用内容进行小幅调整，由相关部门提出申请，经工作小组集体研究后按规定履行内部审批流程；所有零星工程、物资采购项目完成后，由实施部门、财务部门、监督部门联合开展验收，验收合格后方可办理资金支付手续，2025年度本项目所有实施内容均按要求完成验收，验收合格率100%。</w:t>
      </w:r>
    </w:p>
    <w:p w14:paraId="4C82F8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sz w:val="30"/>
          <w:szCs w:val="30"/>
          <w:shd w:val="clear" w:fill="FFFFFF"/>
        </w:rPr>
        <w:t>（二）项目管理情况</w:t>
      </w:r>
    </w:p>
    <w:p w14:paraId="43E7E80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color w:val="000000"/>
          <w:sz w:val="30"/>
          <w:szCs w:val="30"/>
        </w:rPr>
      </w:pPr>
      <w:r>
        <w:rPr>
          <w:rStyle w:val="12"/>
          <w:rFonts w:hint="eastAsia" w:asciiTheme="minorEastAsia" w:hAnsiTheme="minorEastAsia" w:eastAsiaTheme="minorEastAsia" w:cstheme="minorEastAsia"/>
          <w:b w:val="0"/>
          <w:bCs/>
          <w:color w:val="000000"/>
          <w:sz w:val="30"/>
          <w:szCs w:val="30"/>
          <w:shd w:val="clear" w:fill="FFFFFF"/>
        </w:rPr>
        <w:t>管理制度建设</w:t>
      </w:r>
      <w:r>
        <w:rPr>
          <w:rFonts w:hint="eastAsia" w:asciiTheme="minorEastAsia" w:hAnsiTheme="minorEastAsia" w:eastAsiaTheme="minorEastAsia" w:cstheme="minorEastAsia"/>
          <w:b w:val="0"/>
          <w:bCs/>
          <w:color w:val="000000"/>
          <w:sz w:val="30"/>
          <w:szCs w:val="30"/>
          <w:shd w:val="clear" w:fill="FFFFFF"/>
        </w:rPr>
        <w:t>：在遵循国家及地方相关政策的基础上，学校完善了《城乡义务教育生均公用经费使用管理办法》《校园维修工程管理办法》《教学物资采购管理细则》等一系列配套制度，明确了项目实施、资金使用、验收监督等各环节的管理要求和操作流程，形成了制度化、规范化的项目管理体系，为项目顺利实施提供了制度保障。</w:t>
      </w:r>
    </w:p>
    <w:p w14:paraId="2A27EF6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color w:val="000000"/>
          <w:sz w:val="30"/>
          <w:szCs w:val="30"/>
        </w:rPr>
      </w:pPr>
      <w:r>
        <w:rPr>
          <w:rStyle w:val="12"/>
          <w:rFonts w:hint="eastAsia" w:asciiTheme="minorEastAsia" w:hAnsiTheme="minorEastAsia" w:eastAsiaTheme="minorEastAsia" w:cstheme="minorEastAsia"/>
          <w:b w:val="0"/>
          <w:bCs/>
          <w:color w:val="000000"/>
          <w:sz w:val="30"/>
          <w:szCs w:val="30"/>
          <w:shd w:val="clear" w:fill="FFFFFF"/>
        </w:rPr>
        <w:t>日常检查监督</w:t>
      </w:r>
      <w:r>
        <w:rPr>
          <w:rFonts w:hint="eastAsia" w:asciiTheme="minorEastAsia" w:hAnsiTheme="minorEastAsia" w:eastAsiaTheme="minorEastAsia" w:cstheme="minorEastAsia"/>
          <w:b w:val="0"/>
          <w:bCs/>
          <w:color w:val="000000"/>
          <w:sz w:val="30"/>
          <w:szCs w:val="30"/>
          <w:shd w:val="clear" w:fill="FFFFFF"/>
        </w:rPr>
        <w:t>：建立了 “日常自查 + 定期督查” 的监督机制：各部门每月对本部门资金使用情况、项目实施进度进行自查，及时发现并整改问题；学校工作小组每季度开展一次项目专项督查，重点检查资金使用合规性、项目实施质量及进度，对督查中发现的问题下达整改通知书，限期整改并跟踪落实；同时，学校主动接受海口市教育局、财政局的监督检查，确保项目实施全程处于有效监管之下。2025年度本项目未发现违规操作、管理疏漏等问题。</w:t>
      </w:r>
    </w:p>
    <w:p w14:paraId="68B5B2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00" w:firstLineChars="10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sz w:val="30"/>
          <w:szCs w:val="30"/>
          <w:shd w:val="clear" w:fill="FFFFFF"/>
        </w:rPr>
        <w:t>四、项目绩效情况</w:t>
      </w:r>
    </w:p>
    <w:p w14:paraId="271112A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tLeast"/>
        <w:ind w:left="0" w:right="0" w:firstLine="300" w:firstLineChars="10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shd w:val="clear" w:fill="FFFFFF"/>
          <w:lang w:val="en-US" w:eastAsia="zh-CN" w:bidi="ar"/>
        </w:rPr>
        <w:t>本项目从</w:t>
      </w:r>
      <w:r>
        <w:rPr>
          <w:rStyle w:val="12"/>
          <w:rFonts w:hint="eastAsia" w:asciiTheme="minorEastAsia" w:hAnsiTheme="minorEastAsia" w:eastAsiaTheme="minorEastAsia" w:cstheme="minorEastAsia"/>
          <w:b w:val="0"/>
          <w:bCs/>
          <w:color w:val="000000"/>
          <w:kern w:val="0"/>
          <w:sz w:val="30"/>
          <w:szCs w:val="30"/>
          <w:shd w:val="clear" w:fill="FFFFFF"/>
          <w:lang w:val="en-US" w:eastAsia="zh-CN" w:bidi="ar"/>
        </w:rPr>
        <w:t>经济性、效率性、有效性、可持续性</w:t>
      </w:r>
      <w:r>
        <w:rPr>
          <w:rFonts w:hint="eastAsia" w:asciiTheme="minorEastAsia" w:hAnsiTheme="minorEastAsia" w:eastAsiaTheme="minorEastAsia" w:cstheme="minorEastAsia"/>
          <w:b w:val="0"/>
          <w:bCs/>
          <w:color w:val="000000"/>
          <w:kern w:val="0"/>
          <w:sz w:val="30"/>
          <w:szCs w:val="30"/>
          <w:shd w:val="clear" w:fill="FFFFFF"/>
          <w:lang w:val="en-US" w:eastAsia="zh-CN" w:bidi="ar"/>
        </w:rPr>
        <w:t>四个维度综合评价，绩效表现优异，全面实现了预设的绩效目标，资金使用效益得到充分发挥，具体分析如下：</w:t>
      </w:r>
    </w:p>
    <w:p w14:paraId="10B81A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sz w:val="30"/>
          <w:szCs w:val="30"/>
          <w:shd w:val="clear" w:fill="FFFFFF"/>
        </w:rPr>
        <w:t>（一）项目绩效目标完成情况</w:t>
      </w:r>
    </w:p>
    <w:p w14:paraId="0B86536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color w:val="000000"/>
          <w:sz w:val="30"/>
          <w:szCs w:val="30"/>
        </w:rPr>
      </w:pPr>
      <w:r>
        <w:rPr>
          <w:rStyle w:val="12"/>
          <w:rFonts w:hint="eastAsia" w:asciiTheme="minorEastAsia" w:hAnsiTheme="minorEastAsia" w:eastAsiaTheme="minorEastAsia" w:cstheme="minorEastAsia"/>
          <w:b w:val="0"/>
          <w:bCs/>
          <w:color w:val="000000"/>
          <w:sz w:val="30"/>
          <w:szCs w:val="30"/>
          <w:shd w:val="clear" w:fill="FFFFFF"/>
        </w:rPr>
        <w:t>经济性分析</w:t>
      </w:r>
      <w:r>
        <w:rPr>
          <w:rFonts w:hint="eastAsia" w:asciiTheme="minorEastAsia" w:hAnsiTheme="minorEastAsia" w:eastAsiaTheme="minorEastAsia" w:cstheme="minorEastAsia"/>
          <w:b w:val="0"/>
          <w:bCs/>
          <w:color w:val="000000"/>
          <w:sz w:val="30"/>
          <w:szCs w:val="30"/>
          <w:shd w:val="clear" w:fill="FFFFFF"/>
        </w:rPr>
        <w:t>：本项目严格执行预算管理要求，通过精准测算办学需求、优化资金使用结构、规范采购流程等方式，实现了项目成本的有效控制。项目资金执行率达99.23%，未执行资金为合理合同尾款，无资金浪费、闲置情况；同时，通过集中采购、竞争性谈判等方式降低了物资采购和工程施工成本，在保障办学需求的前提下，最大限度提升了资金使用的经济性，实现了 “花小钱、办大事、办好事” 的成本管控目标。</w:t>
      </w:r>
    </w:p>
    <w:p w14:paraId="0CBA710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300" w:firstLineChars="100"/>
        <w:jc w:val="left"/>
        <w:rPr>
          <w:rFonts w:hint="eastAsia" w:asciiTheme="minorEastAsia" w:hAnsiTheme="minorEastAsia" w:eastAsiaTheme="minorEastAsia" w:cstheme="minorEastAsia"/>
          <w:b w:val="0"/>
          <w:bCs/>
          <w:color w:val="000000"/>
          <w:sz w:val="30"/>
          <w:szCs w:val="30"/>
        </w:rPr>
      </w:pPr>
      <w:r>
        <w:rPr>
          <w:rStyle w:val="12"/>
          <w:rFonts w:hint="eastAsia" w:asciiTheme="minorEastAsia" w:hAnsiTheme="minorEastAsia" w:eastAsiaTheme="minorEastAsia" w:cstheme="minorEastAsia"/>
          <w:b w:val="0"/>
          <w:bCs/>
          <w:color w:val="000000"/>
          <w:sz w:val="30"/>
          <w:szCs w:val="30"/>
          <w:shd w:val="clear" w:fill="FFFFFF"/>
        </w:rPr>
        <w:t>效率性分析</w:t>
      </w:r>
      <w:r>
        <w:rPr>
          <w:rFonts w:hint="eastAsia" w:asciiTheme="minorEastAsia" w:hAnsiTheme="minorEastAsia" w:eastAsiaTheme="minorEastAsia" w:cstheme="minorEastAsia"/>
          <w:b w:val="0"/>
          <w:bCs/>
          <w:color w:val="000000"/>
          <w:sz w:val="30"/>
          <w:szCs w:val="30"/>
          <w:shd w:val="clear" w:fill="FFFFFF"/>
        </w:rPr>
        <w:t>：项目实施全程严格按照年度工作计划和预算时间节点推进，各项教育教学耗材采购、校园校舍维护、零星工程施工均在2025年度内完成，项目实施进度与时间计划高度匹配；项目实施过程中建立了严格的质量管控标准，物资采购均符合国家相关质量标准，校园维护及零星工程验收合格率100%，无质量问题返工情况。项目实现了</w:t>
      </w:r>
      <w:r>
        <w:rPr>
          <w:rStyle w:val="12"/>
          <w:rFonts w:hint="eastAsia" w:asciiTheme="minorEastAsia" w:hAnsiTheme="minorEastAsia" w:eastAsiaTheme="minorEastAsia" w:cstheme="minorEastAsia"/>
          <w:b w:val="0"/>
          <w:bCs/>
          <w:color w:val="000000"/>
          <w:sz w:val="30"/>
          <w:szCs w:val="30"/>
          <w:shd w:val="clear" w:fill="FFFFFF"/>
        </w:rPr>
        <w:t>进度高效、质量达标</w:t>
      </w:r>
      <w:r>
        <w:rPr>
          <w:rFonts w:hint="eastAsia" w:asciiTheme="minorEastAsia" w:hAnsiTheme="minorEastAsia" w:eastAsiaTheme="minorEastAsia" w:cstheme="minorEastAsia"/>
          <w:b w:val="0"/>
          <w:bCs/>
          <w:color w:val="000000"/>
          <w:sz w:val="30"/>
          <w:szCs w:val="30"/>
          <w:shd w:val="clear" w:fill="FFFFFF"/>
        </w:rPr>
        <w:t>的实施效果，资金使用效率和项目实施效率均处于较高水平。</w:t>
      </w:r>
    </w:p>
    <w:p w14:paraId="368464D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color w:val="000000"/>
          <w:sz w:val="30"/>
          <w:szCs w:val="30"/>
        </w:rPr>
      </w:pPr>
      <w:r>
        <w:rPr>
          <w:rStyle w:val="12"/>
          <w:rFonts w:hint="eastAsia" w:asciiTheme="minorEastAsia" w:hAnsiTheme="minorEastAsia" w:eastAsiaTheme="minorEastAsia" w:cstheme="minorEastAsia"/>
          <w:b w:val="0"/>
          <w:bCs/>
          <w:color w:val="000000"/>
          <w:sz w:val="30"/>
          <w:szCs w:val="30"/>
          <w:shd w:val="clear" w:fill="FFFFFF"/>
        </w:rPr>
        <w:t>有效性分析</w:t>
      </w:r>
      <w:r>
        <w:rPr>
          <w:rFonts w:hint="eastAsia" w:asciiTheme="minorEastAsia" w:hAnsiTheme="minorEastAsia" w:eastAsiaTheme="minorEastAsia" w:cstheme="minorEastAsia"/>
          <w:b w:val="0"/>
          <w:bCs/>
          <w:color w:val="000000"/>
          <w:sz w:val="30"/>
          <w:szCs w:val="30"/>
          <w:shd w:val="clear" w:fill="FFFFFF"/>
        </w:rPr>
        <w:t>：本项目资金的足额投入和规范使用，全面保障了学校2025年度教育教学工作的正常运转：一是保障了教育教学活动有序开展，足额采购了教学耗材、实验用品等，满足了各年级、各学科的教学需求；二是提升了校园办学硬件条件，完成了校园校舍日常维护、零星工程施工，及时修复了校园基础设施隐患，优化了校园办学环境；三是保障了图书馆正常运营，完成了图书馆书籍更新、软硬件维护，为师生提供了良好的阅读和学习条件。2025年度学校教育教学秩序稳定，无因经费不足导致的办学工作停滞情况，项目资金使用的实际效果与预设绩效目标高度契合，有效夯实了学校义务教育办学基础。</w:t>
      </w:r>
    </w:p>
    <w:p w14:paraId="1365F4B5">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color w:val="000000"/>
          <w:sz w:val="30"/>
          <w:szCs w:val="30"/>
        </w:rPr>
      </w:pPr>
      <w:r>
        <w:rPr>
          <w:rStyle w:val="12"/>
          <w:rFonts w:hint="eastAsia" w:asciiTheme="minorEastAsia" w:hAnsiTheme="minorEastAsia" w:eastAsiaTheme="minorEastAsia" w:cstheme="minorEastAsia"/>
          <w:b w:val="0"/>
          <w:bCs/>
          <w:color w:val="000000"/>
          <w:sz w:val="30"/>
          <w:szCs w:val="30"/>
          <w:shd w:val="clear" w:fill="FFFFFF"/>
        </w:rPr>
        <w:t>可持续性分析</w:t>
      </w:r>
      <w:r>
        <w:rPr>
          <w:rFonts w:hint="eastAsia" w:asciiTheme="minorEastAsia" w:hAnsiTheme="minorEastAsia" w:eastAsiaTheme="minorEastAsia" w:cstheme="minorEastAsia"/>
          <w:b w:val="0"/>
          <w:bCs/>
          <w:color w:val="000000"/>
          <w:sz w:val="30"/>
          <w:szCs w:val="30"/>
          <w:shd w:val="clear" w:fill="FFFFFF"/>
        </w:rPr>
        <w:t>：从政策层面，城乡义务教育生均公用经费是国家长期坚持的义务教育保障政策，后续将持续根据经济社会发展水平、办学成本变化动态调整生均经费标准，政策支撑具有长期性、稳定性；从资金层面，本项目资金全部由财政预算保障，海口市财政局、教育局将根据学校办学规模、生数变化等因素，持续足额安排生均公用经费预算，资金来源具有可靠的持续性；从管理层面，学校已建立完善的项目资金管理和组织实施体系，形成了成熟的管理制度、分工机制和监督流程，后续可继续沿用并不断优化，为项目持续实施提供了坚实的管理保障；从机构和人员层面，学校负责项目实施的各部门及工作人员相对稳定，具备丰富的公用经费管理和项目实施经验，人员队伍保障充足。综上，本项目在政策、资金、管理、人员等方面均具备良好的可持续性，能够持续为学校义务教育办学提供稳定的运转保障。</w:t>
      </w:r>
    </w:p>
    <w:p w14:paraId="2540FF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00" w:firstLineChars="20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sz w:val="30"/>
          <w:szCs w:val="30"/>
          <w:shd w:val="clear" w:fill="FFFFFF"/>
        </w:rPr>
        <w:t>（二）项目绩效目标未完成情况及原因分析</w:t>
      </w:r>
    </w:p>
    <w:p w14:paraId="21928DD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tLeast"/>
        <w:ind w:left="0" w:right="0" w:firstLine="600" w:firstLineChars="20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shd w:val="clear" w:fill="FFFFFF"/>
          <w:lang w:val="en-US" w:eastAsia="zh-CN" w:bidi="ar"/>
        </w:rPr>
        <w:t>2025年度本项目全面完成了预设的各项绩效目标，无未完成绩效目标的情况。</w:t>
      </w:r>
    </w:p>
    <w:p w14:paraId="58F7C7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00" w:firstLineChars="20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sz w:val="30"/>
          <w:szCs w:val="30"/>
          <w:shd w:val="clear" w:fill="FFFFFF"/>
        </w:rPr>
        <w:t>五、其他需要说明的问题</w:t>
      </w:r>
    </w:p>
    <w:p w14:paraId="5C6A72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00" w:firstLineChars="20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sz w:val="30"/>
          <w:szCs w:val="30"/>
          <w:shd w:val="clear" w:fill="FFFFFF"/>
        </w:rPr>
        <w:t>（一）主要经验及做法</w:t>
      </w:r>
    </w:p>
    <w:p w14:paraId="2FE8BA6A">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color w:val="000000"/>
          <w:sz w:val="30"/>
          <w:szCs w:val="30"/>
        </w:rPr>
      </w:pPr>
      <w:r>
        <w:rPr>
          <w:rStyle w:val="12"/>
          <w:rFonts w:hint="eastAsia" w:asciiTheme="minorEastAsia" w:hAnsiTheme="minorEastAsia" w:eastAsiaTheme="minorEastAsia" w:cstheme="minorEastAsia"/>
          <w:b w:val="0"/>
          <w:bCs/>
          <w:color w:val="000000"/>
          <w:sz w:val="30"/>
          <w:szCs w:val="30"/>
          <w:shd w:val="clear" w:fill="FFFFFF"/>
        </w:rPr>
        <w:t>强化制度建设，筑牢管理基础</w:t>
      </w:r>
      <w:r>
        <w:rPr>
          <w:rFonts w:hint="eastAsia" w:asciiTheme="minorEastAsia" w:hAnsiTheme="minorEastAsia" w:eastAsiaTheme="minorEastAsia" w:cstheme="minorEastAsia"/>
          <w:b w:val="0"/>
          <w:bCs/>
          <w:color w:val="000000"/>
          <w:sz w:val="30"/>
          <w:szCs w:val="30"/>
          <w:shd w:val="clear" w:fill="FFFFFF"/>
        </w:rPr>
        <w:t>：将制度建设作为项目管理的核心，在遵循国家及地方政策的基础上，结合学校实际制定配套的公用经费使用、项目实施、监督管理等制度，明确各环节操作流程和管理要求，实现项目管理和资金使用的制度化、规范化，从源头规避管理风险。</w:t>
      </w:r>
    </w:p>
    <w:p w14:paraId="1C757DF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color w:val="000000"/>
          <w:sz w:val="30"/>
          <w:szCs w:val="30"/>
        </w:rPr>
      </w:pPr>
      <w:r>
        <w:rPr>
          <w:rStyle w:val="12"/>
          <w:rFonts w:hint="eastAsia" w:asciiTheme="minorEastAsia" w:hAnsiTheme="minorEastAsia" w:eastAsiaTheme="minorEastAsia" w:cstheme="minorEastAsia"/>
          <w:b w:val="0"/>
          <w:bCs/>
          <w:color w:val="000000"/>
          <w:sz w:val="30"/>
          <w:szCs w:val="30"/>
          <w:shd w:val="clear" w:fill="FFFFFF"/>
        </w:rPr>
        <w:t>明晰职责分工，强化协同配合</w:t>
      </w:r>
      <w:r>
        <w:rPr>
          <w:rFonts w:hint="eastAsia" w:asciiTheme="minorEastAsia" w:hAnsiTheme="minorEastAsia" w:eastAsiaTheme="minorEastAsia" w:cstheme="minorEastAsia"/>
          <w:b w:val="0"/>
          <w:bCs/>
          <w:color w:val="000000"/>
          <w:sz w:val="30"/>
          <w:szCs w:val="30"/>
          <w:shd w:val="clear" w:fill="FFFFFF"/>
        </w:rPr>
        <w:t>：成立专门的项目管理工作小组，明确财务、教务、总务、图书馆等各部门的职责边界，建立 “各部门提需求、工作小组统筹核、财务部门管资金” 的协同工作机制，避免职责交叉或管理缺位，确保项目实施各环节衔接顺畅。</w:t>
      </w:r>
    </w:p>
    <w:p w14:paraId="7395EE7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color w:val="000000"/>
          <w:sz w:val="30"/>
          <w:szCs w:val="30"/>
        </w:rPr>
      </w:pPr>
      <w:r>
        <w:rPr>
          <w:rStyle w:val="12"/>
          <w:rFonts w:hint="eastAsia" w:asciiTheme="minorEastAsia" w:hAnsiTheme="minorEastAsia" w:eastAsiaTheme="minorEastAsia" w:cstheme="minorEastAsia"/>
          <w:b w:val="0"/>
          <w:bCs/>
          <w:color w:val="000000"/>
          <w:sz w:val="30"/>
          <w:szCs w:val="30"/>
          <w:shd w:val="clear" w:fill="FFFFFF"/>
        </w:rPr>
        <w:t>严格预算管控，提升资金效益</w:t>
      </w:r>
      <w:r>
        <w:rPr>
          <w:rFonts w:hint="eastAsia" w:asciiTheme="minorEastAsia" w:hAnsiTheme="minorEastAsia" w:eastAsiaTheme="minorEastAsia" w:cstheme="minorEastAsia"/>
          <w:b w:val="0"/>
          <w:bCs/>
          <w:color w:val="000000"/>
          <w:sz w:val="30"/>
          <w:szCs w:val="30"/>
          <w:shd w:val="clear" w:fill="FFFFFF"/>
        </w:rPr>
        <w:t>：坚持“以需定支、精准编制” 的预算编制原则，结合学校年度办学计划和实际需求，科学测算各项开支；预算执行过程中开展动态监控，定期分析资金使用进度，及时调整优化资金使用结构，确保资金使用与预算目标一致，提升资金使用的精准性和效益性。</w:t>
      </w:r>
    </w:p>
    <w:p w14:paraId="27A40966">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color w:val="000000"/>
          <w:sz w:val="30"/>
          <w:szCs w:val="30"/>
        </w:rPr>
      </w:pPr>
      <w:r>
        <w:rPr>
          <w:rStyle w:val="12"/>
          <w:rFonts w:hint="eastAsia" w:asciiTheme="minorEastAsia" w:hAnsiTheme="minorEastAsia" w:eastAsiaTheme="minorEastAsia" w:cstheme="minorEastAsia"/>
          <w:b w:val="0"/>
          <w:bCs/>
          <w:color w:val="000000"/>
          <w:sz w:val="30"/>
          <w:szCs w:val="30"/>
          <w:shd w:val="clear" w:fill="FFFFFF"/>
        </w:rPr>
        <w:t>健全监督机制，实现全程管控</w:t>
      </w:r>
      <w:r>
        <w:rPr>
          <w:rFonts w:hint="eastAsia" w:asciiTheme="minorEastAsia" w:hAnsiTheme="minorEastAsia" w:eastAsiaTheme="minorEastAsia" w:cstheme="minorEastAsia"/>
          <w:b w:val="0"/>
          <w:bCs/>
          <w:color w:val="000000"/>
          <w:sz w:val="30"/>
          <w:szCs w:val="30"/>
          <w:shd w:val="clear" w:fill="FFFFFF"/>
        </w:rPr>
        <w:t>：构建“日常自查 + 定期督查 + 外部监督 的全方位监督体系，将监督贯穿于项目预算编制、资金使用、项目实施、验收结算等全流程，及时发现并整改管理中的问题，确保项目实施和资金使用合规、高效。</w:t>
      </w:r>
    </w:p>
    <w:p w14:paraId="4C09A5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sz w:val="30"/>
          <w:szCs w:val="30"/>
          <w:shd w:val="clear" w:fill="FFFFFF"/>
        </w:rPr>
        <w:t>（二）存在问题</w:t>
      </w:r>
    </w:p>
    <w:p w14:paraId="0976595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color w:val="000000"/>
          <w:sz w:val="30"/>
          <w:szCs w:val="30"/>
        </w:rPr>
      </w:pPr>
      <w:r>
        <w:rPr>
          <w:rStyle w:val="12"/>
          <w:rFonts w:hint="eastAsia" w:asciiTheme="minorEastAsia" w:hAnsiTheme="minorEastAsia" w:eastAsiaTheme="minorEastAsia" w:cstheme="minorEastAsia"/>
          <w:b w:val="0"/>
          <w:bCs/>
          <w:color w:val="000000"/>
          <w:sz w:val="30"/>
          <w:szCs w:val="30"/>
          <w:shd w:val="clear" w:fill="FFFFFF"/>
        </w:rPr>
        <w:t>预算编制的精细化程度有待提升</w:t>
      </w:r>
      <w:r>
        <w:rPr>
          <w:rFonts w:hint="eastAsia" w:asciiTheme="minorEastAsia" w:hAnsiTheme="minorEastAsia" w:eastAsiaTheme="minorEastAsia" w:cstheme="minorEastAsia"/>
          <w:b w:val="0"/>
          <w:bCs/>
          <w:color w:val="000000"/>
          <w:sz w:val="30"/>
          <w:szCs w:val="30"/>
          <w:shd w:val="clear" w:fill="FFFFFF"/>
        </w:rPr>
        <w:t>：部分开支项目因受办学实际需求变化的影响，预算编制与实际执行存在小幅偏差，虽未影响整体项目实施，但反映出预算编制的前瞻性和精细化程度仍需进一步提高。</w:t>
      </w:r>
    </w:p>
    <w:p w14:paraId="0160AB2D">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color w:val="000000"/>
          <w:sz w:val="30"/>
          <w:szCs w:val="30"/>
        </w:rPr>
      </w:pPr>
      <w:r>
        <w:rPr>
          <w:rStyle w:val="12"/>
          <w:rFonts w:hint="eastAsia" w:asciiTheme="minorEastAsia" w:hAnsiTheme="minorEastAsia" w:eastAsiaTheme="minorEastAsia" w:cstheme="minorEastAsia"/>
          <w:b w:val="0"/>
          <w:bCs/>
          <w:color w:val="000000"/>
          <w:sz w:val="30"/>
          <w:szCs w:val="30"/>
          <w:shd w:val="clear" w:fill="FFFFFF"/>
        </w:rPr>
        <w:t>资金使用效益的分析体系有待完善</w:t>
      </w:r>
      <w:r>
        <w:rPr>
          <w:rFonts w:hint="eastAsia" w:asciiTheme="minorEastAsia" w:hAnsiTheme="minorEastAsia" w:eastAsiaTheme="minorEastAsia" w:cstheme="minorEastAsia"/>
          <w:b w:val="0"/>
          <w:bCs/>
          <w:color w:val="000000"/>
          <w:sz w:val="30"/>
          <w:szCs w:val="30"/>
          <w:shd w:val="clear" w:fill="FFFFFF"/>
        </w:rPr>
        <w:t>：目前学校对项目资金使用效益的分析主要以执行率、保障效果等定性和基础定量指标为主，缺乏更系统、更细化的效益分析指标体系，对资金使用的效益评价不够深入。</w:t>
      </w:r>
    </w:p>
    <w:p w14:paraId="716B1B7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firstLine="600" w:firstLineChars="200"/>
        <w:jc w:val="left"/>
        <w:rPr>
          <w:rFonts w:hint="eastAsia" w:asciiTheme="minorEastAsia" w:hAnsiTheme="minorEastAsia" w:eastAsiaTheme="minorEastAsia" w:cstheme="minorEastAsia"/>
          <w:b w:val="0"/>
          <w:bCs/>
          <w:color w:val="000000"/>
          <w:sz w:val="30"/>
          <w:szCs w:val="30"/>
        </w:rPr>
      </w:pPr>
      <w:r>
        <w:rPr>
          <w:rStyle w:val="12"/>
          <w:rFonts w:hint="eastAsia" w:asciiTheme="minorEastAsia" w:hAnsiTheme="minorEastAsia" w:eastAsiaTheme="minorEastAsia" w:cstheme="minorEastAsia"/>
          <w:b w:val="0"/>
          <w:bCs/>
          <w:color w:val="000000"/>
          <w:sz w:val="30"/>
          <w:szCs w:val="30"/>
          <w:shd w:val="clear" w:fill="FFFFFF"/>
        </w:rPr>
        <w:t>零星工程的精细化管理仍有提升空间</w:t>
      </w:r>
      <w:r>
        <w:rPr>
          <w:rFonts w:hint="eastAsia" w:asciiTheme="minorEastAsia" w:hAnsiTheme="minorEastAsia" w:eastAsiaTheme="minorEastAsia" w:cstheme="minorEastAsia"/>
          <w:b w:val="0"/>
          <w:bCs/>
          <w:color w:val="000000"/>
          <w:sz w:val="30"/>
          <w:szCs w:val="30"/>
          <w:shd w:val="clear" w:fill="FFFFFF"/>
        </w:rPr>
        <w:t>：部分小型零星工程因施工周期短、涉及环节多，在施工过程中的现场管控细节仍需进一步加强，确保工程质量和施工效率的持续优化。</w:t>
      </w:r>
    </w:p>
    <w:p w14:paraId="4AFF10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sz w:val="30"/>
          <w:szCs w:val="30"/>
          <w:shd w:val="clear" w:fill="FFFFFF"/>
        </w:rPr>
        <w:t>（三）改进措施和有关建议</w:t>
      </w:r>
    </w:p>
    <w:p w14:paraId="199184CF">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00" w:firstLineChars="10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sz w:val="30"/>
          <w:szCs w:val="30"/>
          <w:shd w:val="clear" w:fill="FFFFFF"/>
        </w:rPr>
        <w:t>1. 改进措施</w:t>
      </w:r>
    </w:p>
    <w:p w14:paraId="77AC336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tLeast"/>
        <w:ind w:left="0" w:right="0"/>
        <w:jc w:val="left"/>
        <w:rPr>
          <w:rFonts w:hint="eastAsia" w:asciiTheme="minorEastAsia" w:hAnsiTheme="minorEastAsia" w:eastAsiaTheme="minorEastAsia" w:cstheme="minorEastAsia"/>
          <w:b w:val="0"/>
          <w:bCs/>
          <w:color w:val="000000"/>
          <w:kern w:val="0"/>
          <w:sz w:val="30"/>
          <w:szCs w:val="30"/>
          <w:shd w:val="clear" w:fill="FFFFFF"/>
          <w:lang w:val="en-US" w:eastAsia="zh-CN" w:bidi="ar"/>
        </w:rPr>
      </w:pPr>
      <w:r>
        <w:rPr>
          <w:rFonts w:hint="eastAsia" w:asciiTheme="minorEastAsia" w:hAnsiTheme="minorEastAsia" w:eastAsiaTheme="minorEastAsia" w:cstheme="minorEastAsia"/>
          <w:b w:val="0"/>
          <w:bCs/>
          <w:color w:val="000000"/>
          <w:kern w:val="0"/>
          <w:sz w:val="30"/>
          <w:szCs w:val="30"/>
          <w:shd w:val="clear" w:fill="FFFFFF"/>
          <w:lang w:val="en-US" w:eastAsia="zh-CN" w:bidi="ar"/>
        </w:rPr>
        <w:t>（1）提升预算编制精细化水平：建立预算编制“前期调研 + 精准测算 + 动态调整”的工作机制，每年编制预算前，各部门开展全面的办学需求调研，细化开支项目和测算依据；财务部门对各部门提报的预算进行专业审核和汇总，结合学校历年资金使用情况和年度办学计划，科学编制预算；同时，建立预算执行的动态分析机制，及时掌握预算执行偏差原因，为后续预算编制积累数据经验。</w:t>
      </w:r>
    </w:p>
    <w:p w14:paraId="418AD60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tLeast"/>
        <w:ind w:left="0" w:right="0" w:firstLine="300" w:firstLineChars="100"/>
        <w:jc w:val="left"/>
        <w:rPr>
          <w:rFonts w:hint="eastAsia" w:asciiTheme="minorEastAsia" w:hAnsiTheme="minorEastAsia" w:eastAsiaTheme="minorEastAsia" w:cstheme="minorEastAsia"/>
          <w:b w:val="0"/>
          <w:bCs/>
          <w:color w:val="000000"/>
          <w:kern w:val="0"/>
          <w:sz w:val="30"/>
          <w:szCs w:val="30"/>
          <w:shd w:val="clear" w:fill="FFFFFF"/>
          <w:lang w:val="en-US" w:eastAsia="zh-CN" w:bidi="ar"/>
        </w:rPr>
      </w:pPr>
      <w:r>
        <w:rPr>
          <w:rFonts w:hint="eastAsia" w:asciiTheme="minorEastAsia" w:hAnsiTheme="minorEastAsia" w:eastAsiaTheme="minorEastAsia" w:cstheme="minorEastAsia"/>
          <w:b w:val="0"/>
          <w:bCs/>
          <w:color w:val="000000"/>
          <w:kern w:val="0"/>
          <w:sz w:val="30"/>
          <w:szCs w:val="30"/>
          <w:shd w:val="clear" w:fill="FFFFFF"/>
          <w:lang w:val="en-US" w:eastAsia="zh-CN" w:bidi="ar"/>
        </w:rPr>
        <w:t>（2）完善资金使用效益分析体系：结合学校办学实际，构建包含</w:t>
      </w:r>
      <w:r>
        <w:rPr>
          <w:rStyle w:val="12"/>
          <w:rFonts w:hint="eastAsia" w:asciiTheme="minorEastAsia" w:hAnsiTheme="minorEastAsia" w:eastAsiaTheme="minorEastAsia" w:cstheme="minorEastAsia"/>
          <w:b w:val="0"/>
          <w:bCs/>
          <w:color w:val="000000"/>
          <w:kern w:val="0"/>
          <w:sz w:val="30"/>
          <w:szCs w:val="30"/>
          <w:shd w:val="clear" w:fill="FFFFFF"/>
          <w:lang w:val="en-US" w:eastAsia="zh-CN" w:bidi="ar"/>
        </w:rPr>
        <w:t>资金执行指标、办学保障指标、效益提升指标</w:t>
      </w:r>
      <w:r>
        <w:rPr>
          <w:rFonts w:hint="eastAsia" w:asciiTheme="minorEastAsia" w:hAnsiTheme="minorEastAsia" w:eastAsiaTheme="minorEastAsia" w:cstheme="minorEastAsia"/>
          <w:b w:val="0"/>
          <w:bCs/>
          <w:color w:val="000000"/>
          <w:kern w:val="0"/>
          <w:sz w:val="30"/>
          <w:szCs w:val="30"/>
          <w:shd w:val="clear" w:fill="FFFFFF"/>
          <w:lang w:val="en-US" w:eastAsia="zh-CN" w:bidi="ar"/>
        </w:rPr>
        <w:t>的多维效益分析体系，其中资金执行指标包括执行率、支付及时性等；办学保障指标包括教学耗材保障率、校园维护完成率等；效益提升指标包括校园设施完好率、师生满意度等，通过定量与定性结合的方式，更系统、深入地评价资金使用效益。</w:t>
      </w:r>
    </w:p>
    <w:p w14:paraId="2E269D2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tLeast"/>
        <w:ind w:left="0" w:right="0" w:firstLine="300" w:firstLineChars="10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shd w:val="clear" w:fill="FFFFFF"/>
          <w:lang w:val="en-US" w:eastAsia="zh-CN" w:bidi="ar"/>
        </w:rPr>
        <w:t>（3）强化零星工程精细化管理：制定《零星工程现场管理细则》，明确小型零星工程的施工交底、现场巡查、工序验收等要求，安排专人负责施工现场的日常管控，做好施工过程记录；工程完成后，严格执行“工序验收 + 整体验收”的双重验收制度，确保工程质量；同时，加强与施工单位的沟通协调，优化施工流程，提升施工效率。</w:t>
      </w:r>
    </w:p>
    <w:p w14:paraId="086FB5B7">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00" w:firstLineChars="20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sz w:val="30"/>
          <w:szCs w:val="30"/>
          <w:shd w:val="clear" w:fill="FFFFFF"/>
        </w:rPr>
        <w:t>2. 有关建议</w:t>
      </w:r>
    </w:p>
    <w:p w14:paraId="20A5790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tLeast"/>
        <w:ind w:right="0" w:firstLine="600" w:firstLineChars="200"/>
        <w:jc w:val="left"/>
        <w:rPr>
          <w:rFonts w:hint="eastAsia" w:asciiTheme="minorEastAsia" w:hAnsiTheme="minorEastAsia" w:eastAsiaTheme="minorEastAsia" w:cstheme="minorEastAsia"/>
          <w:b w:val="0"/>
          <w:bCs/>
          <w:color w:val="000000"/>
          <w:sz w:val="30"/>
          <w:szCs w:val="30"/>
        </w:rPr>
      </w:pPr>
      <w:r>
        <w:rPr>
          <w:rFonts w:hint="eastAsia" w:asciiTheme="minorEastAsia" w:hAnsiTheme="minorEastAsia" w:eastAsiaTheme="minorEastAsia" w:cstheme="minorEastAsia"/>
          <w:b w:val="0"/>
          <w:bCs/>
          <w:color w:val="000000"/>
          <w:kern w:val="0"/>
          <w:sz w:val="30"/>
          <w:szCs w:val="30"/>
          <w:shd w:val="clear" w:fill="FFFFFF"/>
          <w:lang w:val="en-US" w:eastAsia="zh-CN" w:bidi="ar"/>
        </w:rPr>
        <w:t>（1）对主管部门的建议：海口市教育局、财政局可定期组织义务教育学校开展公用经费管理、预算编制等方面的业务培训和交流学习，分享先进学校的管理经验和做法，提升各学校财务人员和项目管理人员的专业能力；同时，建立预算编制指导机制，对学校预算编制工作进行专业指导，帮助学校提高预算编制的科学性和精细化程度。（2）政策层面的建议：建议上级部门结合区域经济社会发展水平和义务教育办学成本变化，建立城乡义务教育生均公用经费标准的动态调整机制，确保生均经费标准与学校办学实际需求相匹配</w:t>
      </w:r>
      <w:bookmarkStart w:id="0" w:name="_GoBack"/>
      <w:bookmarkEnd w:id="0"/>
      <w:r>
        <w:rPr>
          <w:rFonts w:hint="eastAsia" w:asciiTheme="minorEastAsia" w:hAnsiTheme="minorEastAsia" w:eastAsiaTheme="minorEastAsia" w:cstheme="minorEastAsia"/>
          <w:b w:val="0"/>
          <w:bCs/>
          <w:color w:val="000000"/>
          <w:kern w:val="0"/>
          <w:sz w:val="30"/>
          <w:szCs w:val="30"/>
          <w:shd w:val="clear" w:fill="FFFFFF"/>
          <w:lang w:val="en-US" w:eastAsia="zh-CN" w:bidi="ar"/>
        </w:rPr>
        <w:t>，更好地适应学校办学实际需求的变化。</w:t>
      </w:r>
    </w:p>
    <w:p w14:paraId="0E5806D4">
      <w:pPr>
        <w:pStyle w:val="9"/>
        <w:keepNext w:val="0"/>
        <w:keepLines w:val="0"/>
        <w:widowControl/>
        <w:suppressLineNumbers w:val="0"/>
      </w:pPr>
    </w:p>
    <w:p w14:paraId="00D77F2A">
      <w:pPr>
        <w:pStyle w:val="9"/>
        <w:keepNext w:val="0"/>
        <w:keepLines w:val="0"/>
        <w:widowControl/>
        <w:suppressLineNumbers w:val="0"/>
        <w:rPr>
          <w:rFonts w:hint="eastAsia"/>
          <w:sz w:val="30"/>
          <w:szCs w:val="30"/>
          <w:lang w:val="en-US" w:eastAsia="zh-CN"/>
        </w:rPr>
      </w:pPr>
      <w:r>
        <w:rPr>
          <w:rFonts w:hint="eastAsia"/>
          <w:lang w:val="en-US" w:eastAsia="zh-CN"/>
        </w:rPr>
        <w:t xml:space="preserve">                                        </w:t>
      </w:r>
      <w:r>
        <w:rPr>
          <w:rFonts w:hint="eastAsia"/>
          <w:sz w:val="30"/>
          <w:szCs w:val="30"/>
          <w:lang w:val="en-US" w:eastAsia="zh-CN"/>
        </w:rPr>
        <w:t xml:space="preserve"> 海口市五源河学校</w:t>
      </w:r>
    </w:p>
    <w:p w14:paraId="6EB55321">
      <w:pPr>
        <w:pStyle w:val="9"/>
        <w:keepNext w:val="0"/>
        <w:keepLines w:val="0"/>
        <w:widowControl/>
        <w:suppressLineNumbers w:val="0"/>
        <w:rPr>
          <w:rFonts w:hint="default"/>
          <w:sz w:val="30"/>
          <w:szCs w:val="30"/>
          <w:lang w:val="en-US" w:eastAsia="zh-CN"/>
        </w:rPr>
      </w:pPr>
      <w:r>
        <w:rPr>
          <w:rFonts w:hint="eastAsia"/>
          <w:sz w:val="30"/>
          <w:szCs w:val="30"/>
          <w:lang w:val="en-US" w:eastAsia="zh-CN"/>
        </w:rPr>
        <w:t xml:space="preserve">                               二0二六年三月六日</w:t>
      </w:r>
    </w:p>
    <w:sectPr>
      <w:pgSz w:w="11906" w:h="16839"/>
      <w:pgMar w:top="1440" w:right="1800" w:bottom="1440" w:left="1800"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F5C33"/>
    <w:rsid w:val="151117FA"/>
    <w:rsid w:val="188E40AE"/>
    <w:rsid w:val="2E462960"/>
    <w:rsid w:val="34063571"/>
    <w:rsid w:val="37C46993"/>
    <w:rsid w:val="3DB13661"/>
    <w:rsid w:val="4A62250E"/>
    <w:rsid w:val="597272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EastAsia" w:hAnsiTheme="minorEastAsia" w:eastAsiaTheme="minorEastAsia" w:cstheme="minorEastAsia"/>
      <w:kern w:val="0"/>
      <w:sz w:val="24"/>
      <w:szCs w:val="24"/>
      <w:lang w:val="en-US" w:eastAsia="zh-CN" w:bidi="ar"/>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6">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paragraph" w:styleId="7">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8">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2">
    <w:name w:val="Strong"/>
    <w:basedOn w:val="11"/>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4609</Words>
  <Characters>4742</Characters>
  <TotalTime>36</TotalTime>
  <ScaleCrop>false</ScaleCrop>
  <LinksUpToDate>false</LinksUpToDate>
  <CharactersWithSpaces>4803</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2026-03-02T02:25:00Z</dcterms:created>
  <dc:creator>Administrator</dc:creator>
  <cp:lastModifiedBy>爱，不需言语</cp:lastModifiedBy>
  <dcterms:modified xsi:type="dcterms:W3CDTF">2026-03-06T03:13:07Z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811E70D5F47345158450E274369A1FE5_13</vt:lpwstr>
  </property>
  <property fmtid="{D5CDD505-2E9C-101B-9397-08002B2CF9AE}" pid="4" name="KSOTemplateDocerSaveRecord">
    <vt:lpwstr>eyJoZGlkIjoiZGRmMGIzYWZlYTg0ZTZjNGM1MzZkYWNhNGZmZjU3ZjMiLCJ1c2VySWQiOiI0MzMwNjAyNTQifQ==</vt:lpwstr>
  </property>
</Properties>
</file>