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0" w:after="120" w:line="360" w:lineRule="auto"/>
        <w:ind w:firstLine="567"/>
        <w:jc w:val="center"/>
        <w:rPr>
          <w:rFonts w:ascii="华文仿宋" w:hAnsi="华文仿宋" w:eastAsia="华文仿宋"/>
          <w:b/>
          <w:color w:val="000000" w:themeColor="text1"/>
          <w:sz w:val="44"/>
          <w:szCs w:val="44"/>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57216" behindDoc="1" locked="0" layoutInCell="1" allowOverlap="1">
            <wp:simplePos x="0" y="0"/>
            <wp:positionH relativeFrom="column">
              <wp:posOffset>-628650</wp:posOffset>
            </wp:positionH>
            <wp:positionV relativeFrom="paragraph">
              <wp:posOffset>-914400</wp:posOffset>
            </wp:positionV>
            <wp:extent cx="7557770" cy="10671175"/>
            <wp:effectExtent l="0" t="0" r="0" b="0"/>
            <wp:wrapTight wrapText="bothSides">
              <wp:wrapPolygon>
                <wp:start x="0" y="0"/>
                <wp:lineTo x="0" y="21555"/>
                <wp:lineTo x="21560" y="21555"/>
                <wp:lineTo x="2156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57770" cy="10671175"/>
                    </a:xfrm>
                    <a:prstGeom prst="rect">
                      <a:avLst/>
                    </a:prstGeom>
                  </pic:spPr>
                </pic:pic>
              </a:graphicData>
            </a:graphic>
          </wp:anchor>
        </w:drawing>
      </w:r>
    </w:p>
    <w:sdt>
      <w:sdtPr>
        <w:rPr>
          <w:rFonts w:asciiTheme="minorHAnsi" w:hAnsiTheme="minorHAnsi" w:eastAsiaTheme="minorEastAsia" w:cstheme="minorBidi"/>
          <w:color w:val="000000" w:themeColor="text1"/>
          <w:sz w:val="22"/>
          <w:szCs w:val="22"/>
          <w:lang w:val="en-GB" w:eastAsia="zh-CN"/>
          <w14:textFill>
            <w14:solidFill>
              <w14:schemeClr w14:val="tx1"/>
            </w14:solidFill>
          </w14:textFill>
        </w:rPr>
        <w:id w:val="-47073385"/>
        <w:docPartObj>
          <w:docPartGallery w:val="Table of Contents"/>
          <w:docPartUnique/>
        </w:docPartObj>
      </w:sdtPr>
      <w:sdtEndPr>
        <w:rPr>
          <w:rFonts w:asciiTheme="minorHAnsi" w:hAnsiTheme="minorHAnsi" w:eastAsiaTheme="minorEastAsia" w:cstheme="minorBidi"/>
          <w:b/>
          <w:bCs/>
          <w:color w:val="000000" w:themeColor="text1"/>
          <w:sz w:val="22"/>
          <w:szCs w:val="22"/>
          <w:lang w:val="en-GB" w:eastAsia="zh-CN"/>
          <w14:textFill>
            <w14:solidFill>
              <w14:schemeClr w14:val="tx1"/>
            </w14:solidFill>
          </w14:textFill>
        </w:rPr>
      </w:sdtEndPr>
      <w:sdtContent>
        <w:p>
          <w:pPr>
            <w:pStyle w:val="40"/>
            <w:spacing w:before="120" w:after="120" w:line="360" w:lineRule="auto"/>
            <w:ind w:firstLine="567"/>
            <w:jc w:val="center"/>
            <w:rPr>
              <w:rFonts w:ascii="仿宋" w:hAnsi="仿宋" w:eastAsia="仿宋"/>
              <w:b/>
              <w:bCs/>
              <w:color w:val="000000" w:themeColor="text1"/>
              <w:sz w:val="40"/>
              <w:szCs w:val="40"/>
              <w:lang w:eastAsia="zh-CN"/>
              <w14:textFill>
                <w14:solidFill>
                  <w14:schemeClr w14:val="tx1"/>
                </w14:solidFill>
              </w14:textFill>
            </w:rPr>
          </w:pPr>
          <w:r>
            <w:rPr>
              <w:rFonts w:hint="eastAsia" w:ascii="仿宋" w:hAnsi="仿宋" w:eastAsia="仿宋"/>
              <w:b/>
              <w:bCs/>
              <w:color w:val="000000" w:themeColor="text1"/>
              <w:sz w:val="40"/>
              <w:szCs w:val="40"/>
              <w:lang w:eastAsia="zh-CN"/>
              <w14:textFill>
                <w14:solidFill>
                  <w14:schemeClr w14:val="tx1"/>
                </w14:solidFill>
              </w14:textFill>
            </w:rPr>
            <w:t>目录</w:t>
          </w:r>
        </w:p>
        <w:p>
          <w:pPr>
            <w:spacing w:before="120" w:after="120" w:line="360" w:lineRule="auto"/>
            <w:ind w:firstLine="567"/>
            <w:rPr>
              <w:color w:val="000000" w:themeColor="text1"/>
              <w:lang w:val="en-US"/>
              <w14:textFill>
                <w14:solidFill>
                  <w14:schemeClr w14:val="tx1"/>
                </w14:solidFill>
              </w14:textFill>
            </w:rPr>
          </w:pPr>
        </w:p>
        <w:p>
          <w:pPr>
            <w:pStyle w:val="13"/>
            <w:tabs>
              <w:tab w:val="right" w:leader="dot" w:pos="9800"/>
            </w:tabs>
          </w:pPr>
          <w:r>
            <w:rPr>
              <w:rFonts w:ascii="仿宋" w:hAnsi="仿宋" w:eastAsia="仿宋"/>
              <w:color w:val="000000" w:themeColor="text1"/>
              <w14:textFill>
                <w14:solidFill>
                  <w14:schemeClr w14:val="tx1"/>
                </w14:solidFill>
              </w14:textFill>
            </w:rPr>
            <w:fldChar w:fldCharType="begin"/>
          </w:r>
          <w:r>
            <w:rPr>
              <w:rFonts w:ascii="仿宋" w:hAnsi="仿宋" w:eastAsia="仿宋"/>
              <w:color w:val="000000" w:themeColor="text1"/>
              <w14:textFill>
                <w14:solidFill>
                  <w14:schemeClr w14:val="tx1"/>
                </w14:solidFill>
              </w14:textFill>
            </w:rPr>
            <w:instrText xml:space="preserve"> TOC \o "1-3" \h \z \u </w:instrText>
          </w:r>
          <w:r>
            <w:rPr>
              <w:rFonts w:ascii="仿宋" w:hAnsi="仿宋" w:eastAsia="仿宋"/>
              <w:color w:val="000000" w:themeColor="text1"/>
              <w14:textFill>
                <w14:solidFill>
                  <w14:schemeClr w14:val="tx1"/>
                </w14:solidFill>
              </w14:textFill>
            </w:rPr>
            <w:fldChar w:fldCharType="separate"/>
          </w:r>
          <w:r>
            <w:fldChar w:fldCharType="begin"/>
          </w:r>
          <w:r>
            <w:instrText xml:space="preserve"> HYPERLINK \l "_Toc77102081" </w:instrText>
          </w:r>
          <w:r>
            <w:fldChar w:fldCharType="separate"/>
          </w:r>
          <w:r>
            <w:rPr>
              <w:rStyle w:val="26"/>
              <w:rFonts w:hint="eastAsia"/>
            </w:rPr>
            <w:t>一、宏观环境分析</w:t>
          </w:r>
          <w:r>
            <w:tab/>
          </w:r>
          <w:r>
            <w:fldChar w:fldCharType="begin"/>
          </w:r>
          <w:r>
            <w:instrText xml:space="preserve"> PAGEREF _Toc77102081 \h </w:instrText>
          </w:r>
          <w:r>
            <w:fldChar w:fldCharType="separate"/>
          </w:r>
          <w:r>
            <w:t>- 3 -</w:t>
          </w:r>
          <w:r>
            <w:fldChar w:fldCharType="end"/>
          </w:r>
          <w:r>
            <w:fldChar w:fldCharType="end"/>
          </w:r>
        </w:p>
        <w:p>
          <w:pPr>
            <w:pStyle w:val="17"/>
            <w:tabs>
              <w:tab w:val="right" w:leader="dot" w:pos="9800"/>
            </w:tabs>
          </w:pPr>
          <w:r>
            <w:fldChar w:fldCharType="begin"/>
          </w:r>
          <w:r>
            <w:instrText xml:space="preserve"> HYPERLINK \l "_Toc77102082" </w:instrText>
          </w:r>
          <w:r>
            <w:fldChar w:fldCharType="separate"/>
          </w:r>
          <w:r>
            <w:rPr>
              <w:rStyle w:val="26"/>
              <w:rFonts w:hint="eastAsia"/>
            </w:rPr>
            <w:t>（一）国际环境</w:t>
          </w:r>
          <w:r>
            <w:tab/>
          </w:r>
          <w:r>
            <w:fldChar w:fldCharType="begin"/>
          </w:r>
          <w:r>
            <w:instrText xml:space="preserve"> PAGEREF _Toc77102082 \h </w:instrText>
          </w:r>
          <w:r>
            <w:fldChar w:fldCharType="separate"/>
          </w:r>
          <w:r>
            <w:t>- 3 -</w:t>
          </w:r>
          <w:r>
            <w:fldChar w:fldCharType="end"/>
          </w:r>
          <w:r>
            <w:fldChar w:fldCharType="end"/>
          </w:r>
        </w:p>
        <w:p>
          <w:pPr>
            <w:pStyle w:val="17"/>
            <w:tabs>
              <w:tab w:val="right" w:leader="dot" w:pos="9800"/>
            </w:tabs>
          </w:pPr>
          <w:r>
            <w:fldChar w:fldCharType="begin"/>
          </w:r>
          <w:r>
            <w:instrText xml:space="preserve"> HYPERLINK \l "_Toc77102083" </w:instrText>
          </w:r>
          <w:r>
            <w:fldChar w:fldCharType="separate"/>
          </w:r>
          <w:r>
            <w:rPr>
              <w:rStyle w:val="26"/>
              <w:rFonts w:hint="eastAsia"/>
            </w:rPr>
            <w:t>（二）内部环境</w:t>
          </w:r>
          <w:r>
            <w:tab/>
          </w:r>
          <w:r>
            <w:fldChar w:fldCharType="begin"/>
          </w:r>
          <w:r>
            <w:instrText xml:space="preserve"> PAGEREF _Toc77102083 \h </w:instrText>
          </w:r>
          <w:r>
            <w:fldChar w:fldCharType="separate"/>
          </w:r>
          <w:r>
            <w:t>- 3 -</w:t>
          </w:r>
          <w:r>
            <w:fldChar w:fldCharType="end"/>
          </w:r>
          <w:r>
            <w:fldChar w:fldCharType="end"/>
          </w:r>
        </w:p>
        <w:p>
          <w:pPr>
            <w:pStyle w:val="13"/>
            <w:tabs>
              <w:tab w:val="right" w:leader="dot" w:pos="9800"/>
            </w:tabs>
          </w:pPr>
          <w:r>
            <w:fldChar w:fldCharType="begin"/>
          </w:r>
          <w:r>
            <w:instrText xml:space="preserve"> HYPERLINK \l "_Toc77102084" </w:instrText>
          </w:r>
          <w:r>
            <w:fldChar w:fldCharType="separate"/>
          </w:r>
          <w:r>
            <w:rPr>
              <w:rStyle w:val="26"/>
              <w:rFonts w:hint="eastAsia"/>
            </w:rPr>
            <w:t>二、教育发展基础与面临形势</w:t>
          </w:r>
          <w:r>
            <w:tab/>
          </w:r>
          <w:r>
            <w:fldChar w:fldCharType="begin"/>
          </w:r>
          <w:r>
            <w:instrText xml:space="preserve"> PAGEREF _Toc77102084 \h </w:instrText>
          </w:r>
          <w:r>
            <w:fldChar w:fldCharType="separate"/>
          </w:r>
          <w:r>
            <w:t>- 4 -</w:t>
          </w:r>
          <w:r>
            <w:fldChar w:fldCharType="end"/>
          </w:r>
          <w:r>
            <w:fldChar w:fldCharType="end"/>
          </w:r>
        </w:p>
        <w:p>
          <w:pPr>
            <w:pStyle w:val="17"/>
            <w:tabs>
              <w:tab w:val="right" w:leader="dot" w:pos="9800"/>
            </w:tabs>
          </w:pPr>
          <w:r>
            <w:fldChar w:fldCharType="begin"/>
          </w:r>
          <w:r>
            <w:instrText xml:space="preserve"> HYPERLINK \l "_Toc77102085" </w:instrText>
          </w:r>
          <w:r>
            <w:fldChar w:fldCharType="separate"/>
          </w:r>
          <w:r>
            <w:rPr>
              <w:rStyle w:val="26"/>
              <w:rFonts w:hint="eastAsia" w:ascii="楷体" w:hAnsi="楷体"/>
            </w:rPr>
            <w:t>（一）</w:t>
          </w:r>
          <w:r>
            <w:rPr>
              <w:rStyle w:val="26"/>
              <w:rFonts w:hint="eastAsia"/>
            </w:rPr>
            <w:t>教育规模实现增长，教育普及程度提高</w:t>
          </w:r>
          <w:r>
            <w:tab/>
          </w:r>
          <w:r>
            <w:fldChar w:fldCharType="begin"/>
          </w:r>
          <w:r>
            <w:instrText xml:space="preserve"> PAGEREF _Toc77102085 \h </w:instrText>
          </w:r>
          <w:r>
            <w:fldChar w:fldCharType="separate"/>
          </w:r>
          <w:r>
            <w:t>- 4 -</w:t>
          </w:r>
          <w:r>
            <w:fldChar w:fldCharType="end"/>
          </w:r>
          <w:r>
            <w:fldChar w:fldCharType="end"/>
          </w:r>
        </w:p>
        <w:p>
          <w:pPr>
            <w:pStyle w:val="17"/>
            <w:tabs>
              <w:tab w:val="right" w:leader="dot" w:pos="9800"/>
            </w:tabs>
          </w:pPr>
          <w:r>
            <w:fldChar w:fldCharType="begin"/>
          </w:r>
          <w:r>
            <w:instrText xml:space="preserve"> HYPERLINK \l "_Toc77102086" </w:instrText>
          </w:r>
          <w:r>
            <w:fldChar w:fldCharType="separate"/>
          </w:r>
          <w:r>
            <w:rPr>
              <w:rStyle w:val="26"/>
              <w:rFonts w:hint="eastAsia"/>
            </w:rPr>
            <w:t>（二）教育公平取得新突破</w:t>
          </w:r>
          <w:r>
            <w:tab/>
          </w:r>
          <w:r>
            <w:fldChar w:fldCharType="begin"/>
          </w:r>
          <w:r>
            <w:instrText xml:space="preserve"> PAGEREF _Toc77102086 \h </w:instrText>
          </w:r>
          <w:r>
            <w:fldChar w:fldCharType="separate"/>
          </w:r>
          <w:r>
            <w:t>- 9 -</w:t>
          </w:r>
          <w:r>
            <w:fldChar w:fldCharType="end"/>
          </w:r>
          <w:r>
            <w:fldChar w:fldCharType="end"/>
          </w:r>
        </w:p>
        <w:p>
          <w:pPr>
            <w:pStyle w:val="17"/>
            <w:tabs>
              <w:tab w:val="right" w:leader="dot" w:pos="9800"/>
            </w:tabs>
          </w:pPr>
          <w:r>
            <w:fldChar w:fldCharType="begin"/>
          </w:r>
          <w:r>
            <w:instrText xml:space="preserve"> HYPERLINK \l "_Toc77102087" </w:instrText>
          </w:r>
          <w:r>
            <w:fldChar w:fldCharType="separate"/>
          </w:r>
          <w:r>
            <w:rPr>
              <w:rStyle w:val="26"/>
              <w:rFonts w:hint="eastAsia"/>
            </w:rPr>
            <w:t>（三）教师队伍建设取得新成效</w:t>
          </w:r>
          <w:r>
            <w:tab/>
          </w:r>
          <w:r>
            <w:fldChar w:fldCharType="begin"/>
          </w:r>
          <w:r>
            <w:instrText xml:space="preserve"> PAGEREF _Toc77102087 \h </w:instrText>
          </w:r>
          <w:r>
            <w:fldChar w:fldCharType="separate"/>
          </w:r>
          <w:r>
            <w:t>- 10 -</w:t>
          </w:r>
          <w:r>
            <w:fldChar w:fldCharType="end"/>
          </w:r>
          <w:r>
            <w:fldChar w:fldCharType="end"/>
          </w:r>
        </w:p>
        <w:p>
          <w:pPr>
            <w:pStyle w:val="17"/>
            <w:tabs>
              <w:tab w:val="right" w:leader="dot" w:pos="9800"/>
            </w:tabs>
          </w:pPr>
          <w:r>
            <w:fldChar w:fldCharType="begin"/>
          </w:r>
          <w:r>
            <w:instrText xml:space="preserve"> HYPERLINK \l "_Toc77102088" </w:instrText>
          </w:r>
          <w:r>
            <w:fldChar w:fldCharType="separate"/>
          </w:r>
          <w:r>
            <w:rPr>
              <w:rStyle w:val="26"/>
              <w:rFonts w:hint="eastAsia"/>
            </w:rPr>
            <w:t>（四）教育综合改革纵深发展</w:t>
          </w:r>
          <w:r>
            <w:tab/>
          </w:r>
          <w:r>
            <w:fldChar w:fldCharType="begin"/>
          </w:r>
          <w:r>
            <w:instrText xml:space="preserve"> PAGEREF _Toc77102088 \h </w:instrText>
          </w:r>
          <w:r>
            <w:fldChar w:fldCharType="separate"/>
          </w:r>
          <w:r>
            <w:t>- 12 -</w:t>
          </w:r>
          <w:r>
            <w:fldChar w:fldCharType="end"/>
          </w:r>
          <w:r>
            <w:fldChar w:fldCharType="end"/>
          </w:r>
        </w:p>
        <w:p>
          <w:pPr>
            <w:pStyle w:val="17"/>
            <w:tabs>
              <w:tab w:val="right" w:leader="dot" w:pos="9800"/>
            </w:tabs>
          </w:pPr>
          <w:r>
            <w:fldChar w:fldCharType="begin"/>
          </w:r>
          <w:r>
            <w:instrText xml:space="preserve"> HYPERLINK \l "_Toc77102089" </w:instrText>
          </w:r>
          <w:r>
            <w:fldChar w:fldCharType="separate"/>
          </w:r>
          <w:r>
            <w:rPr>
              <w:rStyle w:val="26"/>
              <w:rFonts w:hint="eastAsia"/>
            </w:rPr>
            <w:t>（五）教育保障能力全面提升</w:t>
          </w:r>
          <w:r>
            <w:tab/>
          </w:r>
          <w:r>
            <w:fldChar w:fldCharType="begin"/>
          </w:r>
          <w:r>
            <w:instrText xml:space="preserve"> PAGEREF _Toc77102089 \h </w:instrText>
          </w:r>
          <w:r>
            <w:fldChar w:fldCharType="separate"/>
          </w:r>
          <w:r>
            <w:t>- 13 -</w:t>
          </w:r>
          <w:r>
            <w:fldChar w:fldCharType="end"/>
          </w:r>
          <w:r>
            <w:fldChar w:fldCharType="end"/>
          </w:r>
        </w:p>
        <w:p>
          <w:pPr>
            <w:pStyle w:val="17"/>
            <w:tabs>
              <w:tab w:val="right" w:leader="dot" w:pos="9800"/>
            </w:tabs>
          </w:pPr>
          <w:r>
            <w:fldChar w:fldCharType="begin"/>
          </w:r>
          <w:r>
            <w:instrText xml:space="preserve"> HYPERLINK \l "_Toc77102090" </w:instrText>
          </w:r>
          <w:r>
            <w:fldChar w:fldCharType="separate"/>
          </w:r>
          <w:r>
            <w:rPr>
              <w:rStyle w:val="26"/>
              <w:rFonts w:hint="eastAsia"/>
            </w:rPr>
            <w:t>（六）国际教育创新岛建设取得阶段性成果</w:t>
          </w:r>
          <w:r>
            <w:tab/>
          </w:r>
          <w:r>
            <w:fldChar w:fldCharType="begin"/>
          </w:r>
          <w:r>
            <w:instrText xml:space="preserve"> PAGEREF _Toc77102090 \h </w:instrText>
          </w:r>
          <w:r>
            <w:fldChar w:fldCharType="separate"/>
          </w:r>
          <w:r>
            <w:t>- 14 -</w:t>
          </w:r>
          <w:r>
            <w:fldChar w:fldCharType="end"/>
          </w:r>
          <w:r>
            <w:fldChar w:fldCharType="end"/>
          </w:r>
        </w:p>
        <w:p>
          <w:pPr>
            <w:pStyle w:val="17"/>
            <w:tabs>
              <w:tab w:val="right" w:leader="dot" w:pos="9800"/>
            </w:tabs>
          </w:pPr>
          <w:r>
            <w:fldChar w:fldCharType="begin"/>
          </w:r>
          <w:r>
            <w:instrText xml:space="preserve"> HYPERLINK \l "_Toc77102091" </w:instrText>
          </w:r>
          <w:r>
            <w:fldChar w:fldCharType="separate"/>
          </w:r>
          <w:r>
            <w:rPr>
              <w:rStyle w:val="26"/>
              <w:rFonts w:hint="eastAsia"/>
            </w:rPr>
            <w:t>（七）面临的新形势</w:t>
          </w:r>
          <w:r>
            <w:tab/>
          </w:r>
          <w:r>
            <w:fldChar w:fldCharType="begin"/>
          </w:r>
          <w:r>
            <w:instrText xml:space="preserve"> PAGEREF _Toc77102091 \h </w:instrText>
          </w:r>
          <w:r>
            <w:fldChar w:fldCharType="separate"/>
          </w:r>
          <w:r>
            <w:t>- 15 -</w:t>
          </w:r>
          <w:r>
            <w:fldChar w:fldCharType="end"/>
          </w:r>
          <w:r>
            <w:fldChar w:fldCharType="end"/>
          </w:r>
        </w:p>
        <w:p>
          <w:pPr>
            <w:pStyle w:val="13"/>
            <w:tabs>
              <w:tab w:val="right" w:leader="dot" w:pos="9800"/>
            </w:tabs>
          </w:pPr>
          <w:r>
            <w:fldChar w:fldCharType="begin"/>
          </w:r>
          <w:r>
            <w:instrText xml:space="preserve"> HYPERLINK \l "_Toc77102092" </w:instrText>
          </w:r>
          <w:r>
            <w:fldChar w:fldCharType="separate"/>
          </w:r>
          <w:r>
            <w:rPr>
              <w:rStyle w:val="26"/>
              <w:rFonts w:hint="eastAsia"/>
            </w:rPr>
            <w:t>三、指导思想和发展目标</w:t>
          </w:r>
          <w:r>
            <w:tab/>
          </w:r>
          <w:r>
            <w:fldChar w:fldCharType="begin"/>
          </w:r>
          <w:r>
            <w:instrText xml:space="preserve"> PAGEREF _Toc77102092 \h </w:instrText>
          </w:r>
          <w:r>
            <w:fldChar w:fldCharType="separate"/>
          </w:r>
          <w:r>
            <w:t>- 17 -</w:t>
          </w:r>
          <w:r>
            <w:fldChar w:fldCharType="end"/>
          </w:r>
          <w:r>
            <w:fldChar w:fldCharType="end"/>
          </w:r>
        </w:p>
        <w:p>
          <w:pPr>
            <w:pStyle w:val="17"/>
            <w:tabs>
              <w:tab w:val="right" w:leader="dot" w:pos="9800"/>
            </w:tabs>
          </w:pPr>
          <w:r>
            <w:fldChar w:fldCharType="begin"/>
          </w:r>
          <w:r>
            <w:instrText xml:space="preserve"> HYPERLINK \l "_Toc77102093" </w:instrText>
          </w:r>
          <w:r>
            <w:fldChar w:fldCharType="separate"/>
          </w:r>
          <w:r>
            <w:rPr>
              <w:rStyle w:val="26"/>
              <w:rFonts w:hint="eastAsia"/>
            </w:rPr>
            <w:t>（一）指导思想</w:t>
          </w:r>
          <w:r>
            <w:tab/>
          </w:r>
          <w:r>
            <w:fldChar w:fldCharType="begin"/>
          </w:r>
          <w:r>
            <w:instrText xml:space="preserve"> PAGEREF _Toc77102093 \h </w:instrText>
          </w:r>
          <w:r>
            <w:fldChar w:fldCharType="separate"/>
          </w:r>
          <w:r>
            <w:t>- 17 -</w:t>
          </w:r>
          <w:r>
            <w:fldChar w:fldCharType="end"/>
          </w:r>
          <w:r>
            <w:fldChar w:fldCharType="end"/>
          </w:r>
        </w:p>
        <w:p>
          <w:pPr>
            <w:pStyle w:val="17"/>
            <w:tabs>
              <w:tab w:val="right" w:leader="dot" w:pos="9800"/>
            </w:tabs>
          </w:pPr>
          <w:r>
            <w:fldChar w:fldCharType="begin"/>
          </w:r>
          <w:r>
            <w:instrText xml:space="preserve"> HYPERLINK \l "_Toc77102094" </w:instrText>
          </w:r>
          <w:r>
            <w:fldChar w:fldCharType="separate"/>
          </w:r>
          <w:r>
            <w:rPr>
              <w:rStyle w:val="26"/>
              <w:rFonts w:hint="eastAsia"/>
            </w:rPr>
            <w:t>（二）发展目标</w:t>
          </w:r>
          <w:r>
            <w:tab/>
          </w:r>
          <w:r>
            <w:fldChar w:fldCharType="begin"/>
          </w:r>
          <w:r>
            <w:instrText xml:space="preserve"> PAGEREF _Toc77102094 \h </w:instrText>
          </w:r>
          <w:r>
            <w:fldChar w:fldCharType="separate"/>
          </w:r>
          <w:r>
            <w:t>- 18 -</w:t>
          </w:r>
          <w:r>
            <w:fldChar w:fldCharType="end"/>
          </w:r>
          <w:r>
            <w:fldChar w:fldCharType="end"/>
          </w:r>
        </w:p>
        <w:p>
          <w:pPr>
            <w:pStyle w:val="13"/>
            <w:tabs>
              <w:tab w:val="right" w:leader="dot" w:pos="9800"/>
            </w:tabs>
          </w:pPr>
          <w:r>
            <w:fldChar w:fldCharType="begin"/>
          </w:r>
          <w:r>
            <w:instrText xml:space="preserve"> HYPERLINK \l "_Toc77102095" </w:instrText>
          </w:r>
          <w:r>
            <w:fldChar w:fldCharType="separate"/>
          </w:r>
          <w:r>
            <w:rPr>
              <w:rStyle w:val="26"/>
              <w:rFonts w:hint="eastAsia"/>
            </w:rPr>
            <w:t>四、发展策略</w:t>
          </w:r>
          <w:r>
            <w:tab/>
          </w:r>
          <w:r>
            <w:fldChar w:fldCharType="begin"/>
          </w:r>
          <w:r>
            <w:instrText xml:space="preserve"> PAGEREF _Toc77102095 \h </w:instrText>
          </w:r>
          <w:r>
            <w:fldChar w:fldCharType="separate"/>
          </w:r>
          <w:r>
            <w:t>- 20 -</w:t>
          </w:r>
          <w:r>
            <w:fldChar w:fldCharType="end"/>
          </w:r>
          <w:r>
            <w:fldChar w:fldCharType="end"/>
          </w:r>
        </w:p>
        <w:p>
          <w:pPr>
            <w:pStyle w:val="17"/>
            <w:tabs>
              <w:tab w:val="right" w:leader="dot" w:pos="9800"/>
            </w:tabs>
          </w:pPr>
          <w:r>
            <w:fldChar w:fldCharType="begin"/>
          </w:r>
          <w:r>
            <w:instrText xml:space="preserve"> HYPERLINK \l "_Toc77102096" </w:instrText>
          </w:r>
          <w:r>
            <w:fldChar w:fldCharType="separate"/>
          </w:r>
          <w:r>
            <w:rPr>
              <w:rStyle w:val="26"/>
              <w:rFonts w:hint="eastAsia"/>
            </w:rPr>
            <w:t>（一）立德树人</w:t>
          </w:r>
          <w:r>
            <w:tab/>
          </w:r>
          <w:r>
            <w:fldChar w:fldCharType="begin"/>
          </w:r>
          <w:r>
            <w:instrText xml:space="preserve"> PAGEREF _Toc77102096 \h </w:instrText>
          </w:r>
          <w:r>
            <w:fldChar w:fldCharType="separate"/>
          </w:r>
          <w:r>
            <w:t>- 20 -</w:t>
          </w:r>
          <w:r>
            <w:fldChar w:fldCharType="end"/>
          </w:r>
          <w:r>
            <w:fldChar w:fldCharType="end"/>
          </w:r>
        </w:p>
        <w:p>
          <w:pPr>
            <w:pStyle w:val="17"/>
            <w:tabs>
              <w:tab w:val="right" w:leader="dot" w:pos="9800"/>
            </w:tabs>
          </w:pPr>
          <w:r>
            <w:fldChar w:fldCharType="begin"/>
          </w:r>
          <w:r>
            <w:instrText xml:space="preserve"> HYPERLINK \l "_Toc77102097" </w:instrText>
          </w:r>
          <w:r>
            <w:fldChar w:fldCharType="separate"/>
          </w:r>
          <w:r>
            <w:rPr>
              <w:rStyle w:val="26"/>
              <w:rFonts w:hint="eastAsia"/>
            </w:rPr>
            <w:t>（二）统筹谋划布局</w:t>
          </w:r>
          <w:r>
            <w:tab/>
          </w:r>
          <w:r>
            <w:fldChar w:fldCharType="begin"/>
          </w:r>
          <w:r>
            <w:instrText xml:space="preserve"> PAGEREF _Toc77102097 \h </w:instrText>
          </w:r>
          <w:r>
            <w:fldChar w:fldCharType="separate"/>
          </w:r>
          <w:r>
            <w:t>- 20 -</w:t>
          </w:r>
          <w:r>
            <w:fldChar w:fldCharType="end"/>
          </w:r>
          <w:r>
            <w:fldChar w:fldCharType="end"/>
          </w:r>
        </w:p>
        <w:p>
          <w:pPr>
            <w:pStyle w:val="17"/>
            <w:tabs>
              <w:tab w:val="right" w:leader="dot" w:pos="9800"/>
            </w:tabs>
          </w:pPr>
          <w:r>
            <w:fldChar w:fldCharType="begin"/>
          </w:r>
          <w:r>
            <w:instrText xml:space="preserve"> HYPERLINK \l "_Toc77102098" </w:instrText>
          </w:r>
          <w:r>
            <w:fldChar w:fldCharType="separate"/>
          </w:r>
          <w:r>
            <w:rPr>
              <w:rStyle w:val="26"/>
              <w:rFonts w:hint="eastAsia"/>
            </w:rPr>
            <w:t>（三）增加教育投入</w:t>
          </w:r>
          <w:r>
            <w:tab/>
          </w:r>
          <w:r>
            <w:fldChar w:fldCharType="begin"/>
          </w:r>
          <w:r>
            <w:instrText xml:space="preserve"> PAGEREF _Toc77102098 \h </w:instrText>
          </w:r>
          <w:r>
            <w:fldChar w:fldCharType="separate"/>
          </w:r>
          <w:r>
            <w:t>- 20 -</w:t>
          </w:r>
          <w:r>
            <w:fldChar w:fldCharType="end"/>
          </w:r>
          <w:r>
            <w:fldChar w:fldCharType="end"/>
          </w:r>
        </w:p>
        <w:p>
          <w:pPr>
            <w:pStyle w:val="17"/>
            <w:tabs>
              <w:tab w:val="right" w:leader="dot" w:pos="9800"/>
            </w:tabs>
          </w:pPr>
          <w:r>
            <w:fldChar w:fldCharType="begin"/>
          </w:r>
          <w:r>
            <w:instrText xml:space="preserve"> HYPERLINK \l "_Toc77102099" </w:instrText>
          </w:r>
          <w:r>
            <w:fldChar w:fldCharType="separate"/>
          </w:r>
          <w:r>
            <w:rPr>
              <w:rStyle w:val="26"/>
              <w:rFonts w:hint="eastAsia"/>
            </w:rPr>
            <w:t>（四）推进教育现代化</w:t>
          </w:r>
          <w:r>
            <w:tab/>
          </w:r>
          <w:r>
            <w:fldChar w:fldCharType="begin"/>
          </w:r>
          <w:r>
            <w:instrText xml:space="preserve"> PAGEREF _Toc77102099 \h </w:instrText>
          </w:r>
          <w:r>
            <w:fldChar w:fldCharType="separate"/>
          </w:r>
          <w:r>
            <w:t>- 21 -</w:t>
          </w:r>
          <w:r>
            <w:fldChar w:fldCharType="end"/>
          </w:r>
          <w:r>
            <w:fldChar w:fldCharType="end"/>
          </w:r>
        </w:p>
        <w:p>
          <w:pPr>
            <w:pStyle w:val="17"/>
            <w:tabs>
              <w:tab w:val="right" w:leader="dot" w:pos="9800"/>
            </w:tabs>
          </w:pPr>
          <w:r>
            <w:fldChar w:fldCharType="begin"/>
          </w:r>
          <w:r>
            <w:instrText xml:space="preserve"> HYPERLINK \l "_Toc77102100" </w:instrText>
          </w:r>
          <w:r>
            <w:fldChar w:fldCharType="separate"/>
          </w:r>
          <w:r>
            <w:rPr>
              <w:rStyle w:val="26"/>
              <w:rFonts w:hint="eastAsia"/>
            </w:rPr>
            <w:t>（五）教育高质量发展</w:t>
          </w:r>
          <w:r>
            <w:tab/>
          </w:r>
          <w:r>
            <w:fldChar w:fldCharType="begin"/>
          </w:r>
          <w:r>
            <w:instrText xml:space="preserve"> PAGEREF _Toc77102100 \h </w:instrText>
          </w:r>
          <w:r>
            <w:fldChar w:fldCharType="separate"/>
          </w:r>
          <w:r>
            <w:t>- 21 -</w:t>
          </w:r>
          <w:r>
            <w:fldChar w:fldCharType="end"/>
          </w:r>
          <w:r>
            <w:fldChar w:fldCharType="end"/>
          </w:r>
        </w:p>
        <w:p>
          <w:pPr>
            <w:pStyle w:val="17"/>
            <w:tabs>
              <w:tab w:val="right" w:leader="dot" w:pos="9800"/>
            </w:tabs>
          </w:pPr>
          <w:r>
            <w:fldChar w:fldCharType="begin"/>
          </w:r>
          <w:r>
            <w:instrText xml:space="preserve"> HYPERLINK \l "_Toc77102101" </w:instrText>
          </w:r>
          <w:r>
            <w:fldChar w:fldCharType="separate"/>
          </w:r>
          <w:r>
            <w:rPr>
              <w:rStyle w:val="26"/>
              <w:rFonts w:hint="eastAsia"/>
            </w:rPr>
            <w:t>（六）坚持改革开放</w:t>
          </w:r>
          <w:r>
            <w:tab/>
          </w:r>
          <w:r>
            <w:fldChar w:fldCharType="begin"/>
          </w:r>
          <w:r>
            <w:instrText xml:space="preserve"> PAGEREF _Toc77102101 \h </w:instrText>
          </w:r>
          <w:r>
            <w:fldChar w:fldCharType="separate"/>
          </w:r>
          <w:r>
            <w:t>- 21 -</w:t>
          </w:r>
          <w:r>
            <w:fldChar w:fldCharType="end"/>
          </w:r>
          <w:r>
            <w:fldChar w:fldCharType="end"/>
          </w:r>
        </w:p>
        <w:p>
          <w:pPr>
            <w:pStyle w:val="17"/>
            <w:tabs>
              <w:tab w:val="right" w:leader="dot" w:pos="9800"/>
            </w:tabs>
          </w:pPr>
          <w:r>
            <w:fldChar w:fldCharType="begin"/>
          </w:r>
          <w:r>
            <w:instrText xml:space="preserve"> HYPERLINK \l "_Toc77102102" </w:instrText>
          </w:r>
          <w:r>
            <w:fldChar w:fldCharType="separate"/>
          </w:r>
          <w:r>
            <w:rPr>
              <w:rStyle w:val="26"/>
              <w:rFonts w:hint="eastAsia"/>
            </w:rPr>
            <w:t>（七）推进制度集成创新</w:t>
          </w:r>
          <w:r>
            <w:tab/>
          </w:r>
          <w:r>
            <w:fldChar w:fldCharType="begin"/>
          </w:r>
          <w:r>
            <w:instrText xml:space="preserve"> PAGEREF _Toc77102102 \h </w:instrText>
          </w:r>
          <w:r>
            <w:fldChar w:fldCharType="separate"/>
          </w:r>
          <w:r>
            <w:t>- 21 -</w:t>
          </w:r>
          <w:r>
            <w:fldChar w:fldCharType="end"/>
          </w:r>
          <w:r>
            <w:fldChar w:fldCharType="end"/>
          </w:r>
        </w:p>
        <w:p>
          <w:pPr>
            <w:pStyle w:val="17"/>
            <w:tabs>
              <w:tab w:val="right" w:leader="dot" w:pos="9800"/>
            </w:tabs>
          </w:pPr>
          <w:r>
            <w:fldChar w:fldCharType="begin"/>
          </w:r>
          <w:r>
            <w:instrText xml:space="preserve"> HYPERLINK \l "_Toc77102103" </w:instrText>
          </w:r>
          <w:r>
            <w:fldChar w:fldCharType="separate"/>
          </w:r>
          <w:r>
            <w:rPr>
              <w:rStyle w:val="26"/>
              <w:rFonts w:hint="eastAsia"/>
            </w:rPr>
            <w:t>（八）供给侧结构性改革</w:t>
          </w:r>
          <w:r>
            <w:tab/>
          </w:r>
          <w:r>
            <w:fldChar w:fldCharType="begin"/>
          </w:r>
          <w:r>
            <w:instrText xml:space="preserve"> PAGEREF _Toc77102103 \h </w:instrText>
          </w:r>
          <w:r>
            <w:fldChar w:fldCharType="separate"/>
          </w:r>
          <w:r>
            <w:t>- 22 -</w:t>
          </w:r>
          <w:r>
            <w:fldChar w:fldCharType="end"/>
          </w:r>
          <w:r>
            <w:fldChar w:fldCharType="end"/>
          </w:r>
        </w:p>
        <w:p>
          <w:pPr>
            <w:pStyle w:val="17"/>
            <w:tabs>
              <w:tab w:val="right" w:leader="dot" w:pos="9800"/>
            </w:tabs>
          </w:pPr>
          <w:r>
            <w:fldChar w:fldCharType="begin"/>
          </w:r>
          <w:r>
            <w:instrText xml:space="preserve"> HYPERLINK \l "_Toc77102104" </w:instrText>
          </w:r>
          <w:r>
            <w:fldChar w:fldCharType="separate"/>
          </w:r>
          <w:r>
            <w:rPr>
              <w:rStyle w:val="26"/>
              <w:rFonts w:hint="eastAsia"/>
            </w:rPr>
            <w:t>（九）优先发展农村教育事业，振新乡村教育</w:t>
          </w:r>
          <w:r>
            <w:tab/>
          </w:r>
          <w:r>
            <w:fldChar w:fldCharType="begin"/>
          </w:r>
          <w:r>
            <w:instrText xml:space="preserve"> PAGEREF _Toc77102104 \h </w:instrText>
          </w:r>
          <w:r>
            <w:fldChar w:fldCharType="separate"/>
          </w:r>
          <w:r>
            <w:t>- 22 -</w:t>
          </w:r>
          <w:r>
            <w:fldChar w:fldCharType="end"/>
          </w:r>
          <w:r>
            <w:fldChar w:fldCharType="end"/>
          </w:r>
        </w:p>
        <w:p>
          <w:pPr>
            <w:pStyle w:val="17"/>
            <w:tabs>
              <w:tab w:val="right" w:leader="dot" w:pos="9800"/>
            </w:tabs>
          </w:pPr>
          <w:r>
            <w:fldChar w:fldCharType="begin"/>
          </w:r>
          <w:r>
            <w:instrText xml:space="preserve"> HYPERLINK \l "_Toc77102105" </w:instrText>
          </w:r>
          <w:r>
            <w:fldChar w:fldCharType="separate"/>
          </w:r>
          <w:r>
            <w:rPr>
              <w:rStyle w:val="26"/>
              <w:rFonts w:hint="eastAsia"/>
            </w:rPr>
            <w:t>（十）构建特色教育治理体系</w:t>
          </w:r>
          <w:r>
            <w:tab/>
          </w:r>
          <w:r>
            <w:fldChar w:fldCharType="begin"/>
          </w:r>
          <w:r>
            <w:instrText xml:space="preserve"> PAGEREF _Toc77102105 \h </w:instrText>
          </w:r>
          <w:r>
            <w:fldChar w:fldCharType="separate"/>
          </w:r>
          <w:r>
            <w:t>- 22 -</w:t>
          </w:r>
          <w:r>
            <w:fldChar w:fldCharType="end"/>
          </w:r>
          <w:r>
            <w:fldChar w:fldCharType="end"/>
          </w:r>
        </w:p>
        <w:p>
          <w:pPr>
            <w:pStyle w:val="13"/>
            <w:tabs>
              <w:tab w:val="right" w:leader="dot" w:pos="9800"/>
            </w:tabs>
          </w:pPr>
          <w:r>
            <w:fldChar w:fldCharType="begin"/>
          </w:r>
          <w:r>
            <w:instrText xml:space="preserve"> HYPERLINK \l "_Toc77102106" </w:instrText>
          </w:r>
          <w:r>
            <w:fldChar w:fldCharType="separate"/>
          </w:r>
          <w:r>
            <w:rPr>
              <w:rStyle w:val="26"/>
              <w:rFonts w:hint="eastAsia"/>
            </w:rPr>
            <w:t>五、发展任务</w:t>
          </w:r>
          <w:r>
            <w:tab/>
          </w:r>
          <w:r>
            <w:fldChar w:fldCharType="begin"/>
          </w:r>
          <w:r>
            <w:instrText xml:space="preserve"> PAGEREF _Toc77102106 \h </w:instrText>
          </w:r>
          <w:r>
            <w:fldChar w:fldCharType="separate"/>
          </w:r>
          <w:r>
            <w:t>- 23 -</w:t>
          </w:r>
          <w:r>
            <w:fldChar w:fldCharType="end"/>
          </w:r>
          <w:r>
            <w:fldChar w:fldCharType="end"/>
          </w:r>
        </w:p>
        <w:p>
          <w:pPr>
            <w:pStyle w:val="17"/>
            <w:tabs>
              <w:tab w:val="right" w:leader="dot" w:pos="9800"/>
            </w:tabs>
          </w:pPr>
          <w:r>
            <w:fldChar w:fldCharType="begin"/>
          </w:r>
          <w:r>
            <w:instrText xml:space="preserve"> HYPERLINK \l "_Toc77102107" </w:instrText>
          </w:r>
          <w:r>
            <w:fldChar w:fldCharType="separate"/>
          </w:r>
          <w:r>
            <w:rPr>
              <w:rStyle w:val="26"/>
              <w:rFonts w:hint="eastAsia"/>
            </w:rPr>
            <w:t>（一）学前教育</w:t>
          </w:r>
          <w:r>
            <w:tab/>
          </w:r>
          <w:r>
            <w:fldChar w:fldCharType="begin"/>
          </w:r>
          <w:r>
            <w:instrText xml:space="preserve"> PAGEREF _Toc77102107 \h </w:instrText>
          </w:r>
          <w:r>
            <w:fldChar w:fldCharType="separate"/>
          </w:r>
          <w:r>
            <w:t>- 23 -</w:t>
          </w:r>
          <w:r>
            <w:fldChar w:fldCharType="end"/>
          </w:r>
          <w:r>
            <w:fldChar w:fldCharType="end"/>
          </w:r>
        </w:p>
        <w:p>
          <w:pPr>
            <w:pStyle w:val="17"/>
            <w:tabs>
              <w:tab w:val="right" w:leader="dot" w:pos="9800"/>
            </w:tabs>
          </w:pPr>
          <w:r>
            <w:fldChar w:fldCharType="begin"/>
          </w:r>
          <w:r>
            <w:instrText xml:space="preserve"> HYPERLINK \l "_Toc77102108" </w:instrText>
          </w:r>
          <w:r>
            <w:fldChar w:fldCharType="separate"/>
          </w:r>
          <w:r>
            <w:rPr>
              <w:rStyle w:val="26"/>
              <w:rFonts w:hint="eastAsia"/>
            </w:rPr>
            <w:t>（二）义务教育</w:t>
          </w:r>
          <w:r>
            <w:tab/>
          </w:r>
          <w:r>
            <w:fldChar w:fldCharType="begin"/>
          </w:r>
          <w:r>
            <w:instrText xml:space="preserve"> PAGEREF _Toc77102108 \h </w:instrText>
          </w:r>
          <w:r>
            <w:fldChar w:fldCharType="separate"/>
          </w:r>
          <w:r>
            <w:t>- 26 -</w:t>
          </w:r>
          <w:r>
            <w:fldChar w:fldCharType="end"/>
          </w:r>
          <w:r>
            <w:fldChar w:fldCharType="end"/>
          </w:r>
        </w:p>
        <w:p>
          <w:pPr>
            <w:pStyle w:val="17"/>
            <w:tabs>
              <w:tab w:val="right" w:leader="dot" w:pos="9800"/>
            </w:tabs>
          </w:pPr>
          <w:r>
            <w:fldChar w:fldCharType="begin"/>
          </w:r>
          <w:r>
            <w:instrText xml:space="preserve"> HYPERLINK \l "_Toc77102109" </w:instrText>
          </w:r>
          <w:r>
            <w:fldChar w:fldCharType="separate"/>
          </w:r>
          <w:r>
            <w:rPr>
              <w:rStyle w:val="26"/>
              <w:rFonts w:hint="eastAsia"/>
            </w:rPr>
            <w:t>（三）普通高中</w:t>
          </w:r>
          <w:r>
            <w:tab/>
          </w:r>
          <w:r>
            <w:fldChar w:fldCharType="begin"/>
          </w:r>
          <w:r>
            <w:instrText xml:space="preserve"> PAGEREF _Toc77102109 \h </w:instrText>
          </w:r>
          <w:r>
            <w:fldChar w:fldCharType="separate"/>
          </w:r>
          <w:r>
            <w:t>- 32 -</w:t>
          </w:r>
          <w:r>
            <w:fldChar w:fldCharType="end"/>
          </w:r>
          <w:r>
            <w:fldChar w:fldCharType="end"/>
          </w:r>
        </w:p>
        <w:p>
          <w:pPr>
            <w:pStyle w:val="17"/>
            <w:tabs>
              <w:tab w:val="right" w:leader="dot" w:pos="9800"/>
            </w:tabs>
          </w:pPr>
          <w:r>
            <w:fldChar w:fldCharType="begin"/>
          </w:r>
          <w:r>
            <w:instrText xml:space="preserve"> HYPERLINK \l "_Toc77102110" </w:instrText>
          </w:r>
          <w:r>
            <w:fldChar w:fldCharType="separate"/>
          </w:r>
          <w:r>
            <w:rPr>
              <w:rStyle w:val="26"/>
              <w:rFonts w:hint="eastAsia"/>
            </w:rPr>
            <w:t>（四）职业教育</w:t>
          </w:r>
          <w:r>
            <w:tab/>
          </w:r>
          <w:r>
            <w:fldChar w:fldCharType="begin"/>
          </w:r>
          <w:r>
            <w:instrText xml:space="preserve"> PAGEREF _Toc77102110 \h </w:instrText>
          </w:r>
          <w:r>
            <w:fldChar w:fldCharType="separate"/>
          </w:r>
          <w:r>
            <w:t>- 36 -</w:t>
          </w:r>
          <w:r>
            <w:fldChar w:fldCharType="end"/>
          </w:r>
          <w:r>
            <w:fldChar w:fldCharType="end"/>
          </w:r>
        </w:p>
        <w:p>
          <w:pPr>
            <w:pStyle w:val="17"/>
            <w:tabs>
              <w:tab w:val="right" w:leader="dot" w:pos="9800"/>
            </w:tabs>
          </w:pPr>
          <w:r>
            <w:fldChar w:fldCharType="begin"/>
          </w:r>
          <w:r>
            <w:instrText xml:space="preserve"> HYPERLINK \l "_Toc77102111" </w:instrText>
          </w:r>
          <w:r>
            <w:fldChar w:fldCharType="separate"/>
          </w:r>
          <w:r>
            <w:rPr>
              <w:rStyle w:val="26"/>
              <w:rFonts w:hint="eastAsia"/>
            </w:rPr>
            <w:t>（五）民办教育</w:t>
          </w:r>
          <w:r>
            <w:tab/>
          </w:r>
          <w:r>
            <w:fldChar w:fldCharType="begin"/>
          </w:r>
          <w:r>
            <w:instrText xml:space="preserve"> PAGEREF _Toc77102111 \h </w:instrText>
          </w:r>
          <w:r>
            <w:fldChar w:fldCharType="separate"/>
          </w:r>
          <w:r>
            <w:t>- 39 -</w:t>
          </w:r>
          <w:r>
            <w:fldChar w:fldCharType="end"/>
          </w:r>
          <w:r>
            <w:fldChar w:fldCharType="end"/>
          </w:r>
        </w:p>
        <w:p>
          <w:pPr>
            <w:pStyle w:val="17"/>
            <w:tabs>
              <w:tab w:val="right" w:leader="dot" w:pos="9800"/>
            </w:tabs>
          </w:pPr>
          <w:r>
            <w:fldChar w:fldCharType="begin"/>
          </w:r>
          <w:r>
            <w:instrText xml:space="preserve"> HYPERLINK \l "_Toc77102112" </w:instrText>
          </w:r>
          <w:r>
            <w:fldChar w:fldCharType="separate"/>
          </w:r>
          <w:r>
            <w:rPr>
              <w:rStyle w:val="26"/>
              <w:rFonts w:hint="eastAsia"/>
            </w:rPr>
            <w:t>（六）非学历教育</w:t>
          </w:r>
          <w:r>
            <w:tab/>
          </w:r>
          <w:r>
            <w:fldChar w:fldCharType="begin"/>
          </w:r>
          <w:r>
            <w:instrText xml:space="preserve"> PAGEREF _Toc77102112 \h </w:instrText>
          </w:r>
          <w:r>
            <w:fldChar w:fldCharType="separate"/>
          </w:r>
          <w:r>
            <w:t>- 40 -</w:t>
          </w:r>
          <w:r>
            <w:fldChar w:fldCharType="end"/>
          </w:r>
          <w:r>
            <w:fldChar w:fldCharType="end"/>
          </w:r>
        </w:p>
        <w:p>
          <w:pPr>
            <w:pStyle w:val="17"/>
            <w:tabs>
              <w:tab w:val="right" w:leader="dot" w:pos="9800"/>
            </w:tabs>
          </w:pPr>
          <w:r>
            <w:fldChar w:fldCharType="begin"/>
          </w:r>
          <w:r>
            <w:instrText xml:space="preserve"> HYPERLINK \l "_Toc77102113" </w:instrText>
          </w:r>
          <w:r>
            <w:fldChar w:fldCharType="separate"/>
          </w:r>
          <w:r>
            <w:rPr>
              <w:rStyle w:val="26"/>
              <w:rFonts w:hint="eastAsia"/>
            </w:rPr>
            <w:t>（七）高等教育</w:t>
          </w:r>
          <w:r>
            <w:tab/>
          </w:r>
          <w:r>
            <w:fldChar w:fldCharType="begin"/>
          </w:r>
          <w:r>
            <w:instrText xml:space="preserve"> PAGEREF _Toc77102113 \h </w:instrText>
          </w:r>
          <w:r>
            <w:fldChar w:fldCharType="separate"/>
          </w:r>
          <w:r>
            <w:t>- 42 -</w:t>
          </w:r>
          <w:r>
            <w:fldChar w:fldCharType="end"/>
          </w:r>
          <w:r>
            <w:fldChar w:fldCharType="end"/>
          </w:r>
        </w:p>
        <w:p>
          <w:pPr>
            <w:pStyle w:val="17"/>
            <w:tabs>
              <w:tab w:val="right" w:leader="dot" w:pos="9800"/>
            </w:tabs>
          </w:pPr>
          <w:r>
            <w:fldChar w:fldCharType="begin"/>
          </w:r>
          <w:r>
            <w:instrText xml:space="preserve"> HYPERLINK \l "_Toc77102114" </w:instrText>
          </w:r>
          <w:r>
            <w:fldChar w:fldCharType="separate"/>
          </w:r>
          <w:r>
            <w:rPr>
              <w:rStyle w:val="26"/>
              <w:rFonts w:hint="eastAsia"/>
            </w:rPr>
            <w:t>（八）特殊教育</w:t>
          </w:r>
          <w:r>
            <w:tab/>
          </w:r>
          <w:r>
            <w:fldChar w:fldCharType="begin"/>
          </w:r>
          <w:r>
            <w:instrText xml:space="preserve"> PAGEREF _Toc77102114 \h </w:instrText>
          </w:r>
          <w:r>
            <w:fldChar w:fldCharType="separate"/>
          </w:r>
          <w:r>
            <w:t>- 42 -</w:t>
          </w:r>
          <w:r>
            <w:fldChar w:fldCharType="end"/>
          </w:r>
          <w:r>
            <w:fldChar w:fldCharType="end"/>
          </w:r>
        </w:p>
        <w:p>
          <w:pPr>
            <w:pStyle w:val="17"/>
            <w:tabs>
              <w:tab w:val="right" w:leader="dot" w:pos="9800"/>
            </w:tabs>
          </w:pPr>
          <w:r>
            <w:fldChar w:fldCharType="begin"/>
          </w:r>
          <w:r>
            <w:instrText xml:space="preserve"> HYPERLINK \l "_Toc77102115" </w:instrText>
          </w:r>
          <w:r>
            <w:fldChar w:fldCharType="separate"/>
          </w:r>
          <w:r>
            <w:rPr>
              <w:rStyle w:val="26"/>
              <w:rFonts w:hint="eastAsia"/>
            </w:rPr>
            <w:t>（九）专门教育</w:t>
          </w:r>
          <w:r>
            <w:tab/>
          </w:r>
          <w:r>
            <w:fldChar w:fldCharType="begin"/>
          </w:r>
          <w:r>
            <w:instrText xml:space="preserve"> PAGEREF _Toc77102115 \h </w:instrText>
          </w:r>
          <w:r>
            <w:fldChar w:fldCharType="separate"/>
          </w:r>
          <w:r>
            <w:t>- 43 -</w:t>
          </w:r>
          <w:r>
            <w:fldChar w:fldCharType="end"/>
          </w:r>
          <w:r>
            <w:fldChar w:fldCharType="end"/>
          </w:r>
        </w:p>
        <w:p>
          <w:pPr>
            <w:pStyle w:val="13"/>
            <w:tabs>
              <w:tab w:val="right" w:leader="dot" w:pos="9800"/>
            </w:tabs>
          </w:pPr>
          <w:r>
            <w:fldChar w:fldCharType="begin"/>
          </w:r>
          <w:r>
            <w:instrText xml:space="preserve"> HYPERLINK \l "_Toc77102116" </w:instrText>
          </w:r>
          <w:r>
            <w:fldChar w:fldCharType="separate"/>
          </w:r>
          <w:r>
            <w:rPr>
              <w:rStyle w:val="26"/>
              <w:rFonts w:hint="eastAsia"/>
            </w:rPr>
            <w:t>六、保障措施</w:t>
          </w:r>
          <w:r>
            <w:tab/>
          </w:r>
          <w:r>
            <w:fldChar w:fldCharType="begin"/>
          </w:r>
          <w:r>
            <w:instrText xml:space="preserve"> PAGEREF _Toc77102116 \h </w:instrText>
          </w:r>
          <w:r>
            <w:fldChar w:fldCharType="separate"/>
          </w:r>
          <w:r>
            <w:t>- 43 -</w:t>
          </w:r>
          <w:r>
            <w:fldChar w:fldCharType="end"/>
          </w:r>
          <w:r>
            <w:fldChar w:fldCharType="end"/>
          </w:r>
        </w:p>
        <w:p>
          <w:pPr>
            <w:pStyle w:val="17"/>
            <w:tabs>
              <w:tab w:val="right" w:leader="dot" w:pos="9800"/>
            </w:tabs>
          </w:pPr>
          <w:r>
            <w:fldChar w:fldCharType="begin"/>
          </w:r>
          <w:r>
            <w:instrText xml:space="preserve"> HYPERLINK \l "_Toc77102117" </w:instrText>
          </w:r>
          <w:r>
            <w:fldChar w:fldCharType="separate"/>
          </w:r>
          <w:r>
            <w:rPr>
              <w:rStyle w:val="26"/>
              <w:rFonts w:hint="eastAsia"/>
            </w:rPr>
            <w:t>（一）制度保障</w:t>
          </w:r>
          <w:r>
            <w:tab/>
          </w:r>
          <w:r>
            <w:fldChar w:fldCharType="begin"/>
          </w:r>
          <w:r>
            <w:instrText xml:space="preserve"> PAGEREF _Toc77102117 \h </w:instrText>
          </w:r>
          <w:r>
            <w:fldChar w:fldCharType="separate"/>
          </w:r>
          <w:r>
            <w:t>- 43 -</w:t>
          </w:r>
          <w:r>
            <w:fldChar w:fldCharType="end"/>
          </w:r>
          <w:r>
            <w:fldChar w:fldCharType="end"/>
          </w:r>
        </w:p>
        <w:p>
          <w:pPr>
            <w:pStyle w:val="17"/>
            <w:tabs>
              <w:tab w:val="right" w:leader="dot" w:pos="9800"/>
            </w:tabs>
          </w:pPr>
          <w:r>
            <w:fldChar w:fldCharType="begin"/>
          </w:r>
          <w:r>
            <w:instrText xml:space="preserve"> HYPERLINK \l "_Toc77102118" </w:instrText>
          </w:r>
          <w:r>
            <w:fldChar w:fldCharType="separate"/>
          </w:r>
          <w:r>
            <w:rPr>
              <w:rStyle w:val="26"/>
              <w:rFonts w:hint="eastAsia"/>
            </w:rPr>
            <w:t>（二）组织保障</w:t>
          </w:r>
          <w:r>
            <w:tab/>
          </w:r>
          <w:r>
            <w:fldChar w:fldCharType="begin"/>
          </w:r>
          <w:r>
            <w:instrText xml:space="preserve"> PAGEREF _Toc77102118 \h </w:instrText>
          </w:r>
          <w:r>
            <w:fldChar w:fldCharType="separate"/>
          </w:r>
          <w:r>
            <w:t>- 44 -</w:t>
          </w:r>
          <w:r>
            <w:fldChar w:fldCharType="end"/>
          </w:r>
          <w:r>
            <w:fldChar w:fldCharType="end"/>
          </w:r>
        </w:p>
        <w:p>
          <w:pPr>
            <w:pStyle w:val="17"/>
            <w:tabs>
              <w:tab w:val="right" w:leader="dot" w:pos="9800"/>
            </w:tabs>
          </w:pPr>
          <w:r>
            <w:fldChar w:fldCharType="begin"/>
          </w:r>
          <w:r>
            <w:instrText xml:space="preserve"> HYPERLINK \l "_Toc77102119" </w:instrText>
          </w:r>
          <w:r>
            <w:fldChar w:fldCharType="separate"/>
          </w:r>
          <w:r>
            <w:rPr>
              <w:rStyle w:val="26"/>
              <w:rFonts w:hint="eastAsia"/>
            </w:rPr>
            <w:t>（三）法治保障</w:t>
          </w:r>
          <w:r>
            <w:tab/>
          </w:r>
          <w:r>
            <w:fldChar w:fldCharType="begin"/>
          </w:r>
          <w:r>
            <w:instrText xml:space="preserve"> PAGEREF _Toc77102119 \h </w:instrText>
          </w:r>
          <w:r>
            <w:fldChar w:fldCharType="separate"/>
          </w:r>
          <w:r>
            <w:t>- 45 -</w:t>
          </w:r>
          <w:r>
            <w:fldChar w:fldCharType="end"/>
          </w:r>
          <w:r>
            <w:fldChar w:fldCharType="end"/>
          </w:r>
        </w:p>
        <w:p>
          <w:pPr>
            <w:pStyle w:val="17"/>
            <w:tabs>
              <w:tab w:val="right" w:leader="dot" w:pos="9800"/>
            </w:tabs>
          </w:pPr>
          <w:r>
            <w:fldChar w:fldCharType="begin"/>
          </w:r>
          <w:r>
            <w:instrText xml:space="preserve"> HYPERLINK \l "_Toc77102120" </w:instrText>
          </w:r>
          <w:r>
            <w:fldChar w:fldCharType="separate"/>
          </w:r>
          <w:r>
            <w:rPr>
              <w:rStyle w:val="26"/>
              <w:rFonts w:hint="eastAsia"/>
            </w:rPr>
            <w:t>（四）资源保障</w:t>
          </w:r>
          <w:r>
            <w:tab/>
          </w:r>
          <w:r>
            <w:fldChar w:fldCharType="begin"/>
          </w:r>
          <w:r>
            <w:instrText xml:space="preserve"> PAGEREF _Toc77102120 \h </w:instrText>
          </w:r>
          <w:r>
            <w:fldChar w:fldCharType="separate"/>
          </w:r>
          <w:r>
            <w:t>- 45 -</w:t>
          </w:r>
          <w:r>
            <w:fldChar w:fldCharType="end"/>
          </w:r>
          <w:r>
            <w:fldChar w:fldCharType="end"/>
          </w:r>
        </w:p>
        <w:p>
          <w:pPr>
            <w:pStyle w:val="17"/>
            <w:tabs>
              <w:tab w:val="right" w:leader="dot" w:pos="9800"/>
            </w:tabs>
          </w:pPr>
          <w:r>
            <w:fldChar w:fldCharType="begin"/>
          </w:r>
          <w:r>
            <w:instrText xml:space="preserve"> HYPERLINK \l "_Toc77102121" </w:instrText>
          </w:r>
          <w:r>
            <w:fldChar w:fldCharType="separate"/>
          </w:r>
          <w:r>
            <w:rPr>
              <w:rStyle w:val="26"/>
              <w:rFonts w:hint="eastAsia"/>
            </w:rPr>
            <w:t>（五）人才保障</w:t>
          </w:r>
          <w:r>
            <w:tab/>
          </w:r>
          <w:r>
            <w:fldChar w:fldCharType="begin"/>
          </w:r>
          <w:r>
            <w:instrText xml:space="preserve"> PAGEREF _Toc77102121 \h </w:instrText>
          </w:r>
          <w:r>
            <w:fldChar w:fldCharType="separate"/>
          </w:r>
          <w:r>
            <w:t>- 46 -</w:t>
          </w:r>
          <w:r>
            <w:fldChar w:fldCharType="end"/>
          </w:r>
          <w:r>
            <w:fldChar w:fldCharType="end"/>
          </w:r>
        </w:p>
        <w:p>
          <w:pPr>
            <w:pStyle w:val="17"/>
            <w:tabs>
              <w:tab w:val="right" w:leader="dot" w:pos="9800"/>
            </w:tabs>
          </w:pPr>
          <w:r>
            <w:fldChar w:fldCharType="begin"/>
          </w:r>
          <w:r>
            <w:instrText xml:space="preserve"> HYPERLINK \l "_Toc77102122" </w:instrText>
          </w:r>
          <w:r>
            <w:fldChar w:fldCharType="separate"/>
          </w:r>
          <w:r>
            <w:rPr>
              <w:rStyle w:val="26"/>
              <w:rFonts w:hint="eastAsia"/>
            </w:rPr>
            <w:t>（六）研训保障</w:t>
          </w:r>
          <w:r>
            <w:tab/>
          </w:r>
          <w:r>
            <w:fldChar w:fldCharType="begin"/>
          </w:r>
          <w:r>
            <w:instrText xml:space="preserve"> PAGEREF _Toc77102122 \h </w:instrText>
          </w:r>
          <w:r>
            <w:fldChar w:fldCharType="separate"/>
          </w:r>
          <w:r>
            <w:t>- 46 -</w:t>
          </w:r>
          <w:r>
            <w:fldChar w:fldCharType="end"/>
          </w:r>
          <w:r>
            <w:fldChar w:fldCharType="end"/>
          </w:r>
        </w:p>
        <w:p>
          <w:pPr>
            <w:pStyle w:val="17"/>
            <w:tabs>
              <w:tab w:val="right" w:leader="dot" w:pos="9800"/>
            </w:tabs>
          </w:pPr>
          <w:r>
            <w:fldChar w:fldCharType="begin"/>
          </w:r>
          <w:r>
            <w:instrText xml:space="preserve"> HYPERLINK \l "_Toc77102123" </w:instrText>
          </w:r>
          <w:r>
            <w:fldChar w:fldCharType="separate"/>
          </w:r>
          <w:r>
            <w:rPr>
              <w:rStyle w:val="26"/>
              <w:rFonts w:hint="eastAsia"/>
            </w:rPr>
            <w:t>（七）文化保障</w:t>
          </w:r>
          <w:r>
            <w:tab/>
          </w:r>
          <w:r>
            <w:fldChar w:fldCharType="begin"/>
          </w:r>
          <w:r>
            <w:instrText xml:space="preserve"> PAGEREF _Toc77102123 \h </w:instrText>
          </w:r>
          <w:r>
            <w:fldChar w:fldCharType="separate"/>
          </w:r>
          <w:r>
            <w:t>- 47 -</w:t>
          </w:r>
          <w:r>
            <w:fldChar w:fldCharType="end"/>
          </w:r>
          <w:r>
            <w:fldChar w:fldCharType="end"/>
          </w:r>
        </w:p>
        <w:p>
          <w:pPr>
            <w:pStyle w:val="17"/>
            <w:tabs>
              <w:tab w:val="right" w:leader="dot" w:pos="9800"/>
            </w:tabs>
          </w:pPr>
          <w:r>
            <w:fldChar w:fldCharType="begin"/>
          </w:r>
          <w:r>
            <w:instrText xml:space="preserve"> HYPERLINK \l "_Toc77102124" </w:instrText>
          </w:r>
          <w:r>
            <w:fldChar w:fldCharType="separate"/>
          </w:r>
          <w:r>
            <w:rPr>
              <w:rStyle w:val="26"/>
              <w:rFonts w:hint="eastAsia"/>
            </w:rPr>
            <w:t>（八）安全保障</w:t>
          </w:r>
          <w:r>
            <w:tab/>
          </w:r>
          <w:r>
            <w:fldChar w:fldCharType="begin"/>
          </w:r>
          <w:r>
            <w:instrText xml:space="preserve"> PAGEREF _Toc77102124 \h </w:instrText>
          </w:r>
          <w:r>
            <w:fldChar w:fldCharType="separate"/>
          </w:r>
          <w:r>
            <w:t>- 48 -</w:t>
          </w:r>
          <w:r>
            <w:fldChar w:fldCharType="end"/>
          </w:r>
          <w:r>
            <w:fldChar w:fldCharType="end"/>
          </w:r>
        </w:p>
        <w:p>
          <w:pPr>
            <w:spacing w:before="120" w:after="120" w:line="360" w:lineRule="auto"/>
            <w:ind w:firstLine="567"/>
            <w:rPr>
              <w:color w:val="000000" w:themeColor="text1"/>
              <w14:textFill>
                <w14:solidFill>
                  <w14:schemeClr w14:val="tx1"/>
                </w14:solidFill>
              </w14:textFill>
            </w:rPr>
          </w:pPr>
          <w:r>
            <w:rPr>
              <w:rFonts w:ascii="仿宋" w:hAnsi="仿宋" w:eastAsia="仿宋"/>
              <w:b/>
              <w:bCs/>
              <w:color w:val="000000" w:themeColor="text1"/>
              <w14:textFill>
                <w14:solidFill>
                  <w14:schemeClr w14:val="tx1"/>
                </w14:solidFill>
              </w14:textFill>
            </w:rPr>
            <w:fldChar w:fldCharType="end"/>
          </w:r>
        </w:p>
      </w:sdtContent>
    </w:sdt>
    <w:p>
      <w:pPr>
        <w:spacing w:before="120" w:after="120" w:line="360" w:lineRule="auto"/>
        <w:ind w:firstLine="567"/>
        <w:rPr>
          <w:rFonts w:ascii="华文仿宋" w:hAnsi="华文仿宋" w:eastAsia="华文仿宋"/>
          <w:b/>
          <w:color w:val="000000" w:themeColor="text1"/>
          <w:sz w:val="44"/>
          <w:szCs w:val="44"/>
          <w14:textFill>
            <w14:solidFill>
              <w14:schemeClr w14:val="tx1"/>
            </w14:solidFill>
          </w14:textFill>
        </w:rPr>
        <w:sectPr>
          <w:footerReference r:id="rId4" w:type="first"/>
          <w:headerReference r:id="rId3" w:type="default"/>
          <w:pgSz w:w="11906" w:h="16838"/>
          <w:pgMar w:top="1440" w:right="1106" w:bottom="1440" w:left="990" w:header="708" w:footer="708" w:gutter="0"/>
          <w:pgNumType w:fmt="numberInDash" w:start="0"/>
          <w:cols w:space="708" w:num="1"/>
          <w:titlePg/>
          <w:docGrid w:linePitch="360" w:charSpace="0"/>
        </w:sectPr>
      </w:pPr>
      <w:bookmarkStart w:id="44" w:name="_GoBack"/>
      <w:bookmarkEnd w:id="44"/>
    </w:p>
    <w:p>
      <w:pPr>
        <w:spacing w:before="120" w:after="120" w:line="360" w:lineRule="auto"/>
        <w:ind w:firstLine="567"/>
        <w:jc w:val="center"/>
        <w:rPr>
          <w:rFonts w:asciiTheme="majorEastAsia" w:hAnsiTheme="majorEastAsia" w:eastAsiaTheme="majorEastAsia"/>
          <w:b/>
          <w:bCs/>
          <w:color w:val="000000" w:themeColor="text1"/>
          <w:sz w:val="40"/>
          <w:szCs w:val="40"/>
          <w14:textFill>
            <w14:solidFill>
              <w14:schemeClr w14:val="tx1"/>
            </w14:solidFill>
          </w14:textFill>
        </w:rPr>
      </w:pPr>
      <w:r>
        <w:rPr>
          <w:rFonts w:hint="eastAsia" w:asciiTheme="majorEastAsia" w:hAnsiTheme="majorEastAsia" w:eastAsiaTheme="majorEastAsia"/>
          <w:b/>
          <w:bCs/>
          <w:color w:val="000000" w:themeColor="text1"/>
          <w:sz w:val="40"/>
          <w:szCs w:val="40"/>
          <w14:textFill>
            <w14:solidFill>
              <w14:schemeClr w14:val="tx1"/>
            </w14:solidFill>
          </w14:textFill>
        </w:rPr>
        <w:t>海口市教育事业发展“十四五”规划</w:t>
      </w:r>
    </w:p>
    <w:p>
      <w:pPr>
        <w:spacing w:before="120" w:after="120" w:line="360" w:lineRule="auto"/>
        <w:ind w:firstLine="567"/>
        <w:jc w:val="center"/>
        <w:rPr>
          <w:rFonts w:asciiTheme="majorEastAsia" w:hAnsiTheme="majorEastAsia" w:eastAsiaTheme="majorEastAsia"/>
          <w:b/>
          <w:bCs/>
          <w:color w:val="000000" w:themeColor="text1"/>
          <w:sz w:val="40"/>
          <w:szCs w:val="40"/>
          <w14:textFill>
            <w14:solidFill>
              <w14:schemeClr w14:val="tx1"/>
            </w14:solidFill>
          </w14:textFill>
        </w:rPr>
      </w:pPr>
      <w:r>
        <w:rPr>
          <w:rFonts w:hint="eastAsia" w:asciiTheme="majorEastAsia" w:hAnsiTheme="majorEastAsia" w:eastAsiaTheme="majorEastAsia"/>
          <w:b/>
          <w:bCs/>
          <w:color w:val="000000" w:themeColor="text1"/>
          <w:sz w:val="40"/>
          <w:szCs w:val="40"/>
          <w14:textFill>
            <w14:solidFill>
              <w14:schemeClr w14:val="tx1"/>
            </w14:solidFill>
          </w14:textFill>
        </w:rPr>
        <w:t>（2021-2025年）</w:t>
      </w:r>
    </w:p>
    <w:p>
      <w:pPr>
        <w:autoSpaceDN w:val="0"/>
        <w:spacing w:before="120" w:after="120" w:line="360" w:lineRule="auto"/>
        <w:ind w:firstLine="567"/>
        <w:rPr>
          <w:rFonts w:ascii="仿宋_GB2312" w:eastAsia="仿宋_GB2312"/>
          <w:color w:val="000000" w:themeColor="text1"/>
          <w:sz w:val="32"/>
          <w14:textFill>
            <w14:solidFill>
              <w14:schemeClr w14:val="tx1"/>
            </w14:solidFill>
          </w14:textFill>
        </w:rPr>
      </w:pPr>
    </w:p>
    <w:p>
      <w:pPr>
        <w:spacing w:before="120" w:after="12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十四五”时期是我国开启全面建设社会主义现代化国家新政策、向第二个百年奋斗目标进军的第一个五年，也是海口市全面建成小康社会、建设国际教育创新岛、基本实现教育现代化的关键时期。面对高标准高质量建设海南省自由贸易港、建设“一带一路”海上战略支点城市的重要发展新形势，教育事业的基础性、先导性、全局性地位更加突出。</w:t>
      </w:r>
      <w:r>
        <w:rPr>
          <w:rFonts w:ascii="仿宋_GB2312" w:hAnsi="仿宋_GB2312" w:eastAsia="仿宋_GB2312" w:cs="仿宋_GB2312"/>
          <w:color w:val="000000" w:themeColor="text1"/>
          <w:sz w:val="32"/>
          <w:szCs w:val="32"/>
          <w14:textFill>
            <w14:solidFill>
              <w14:schemeClr w14:val="tx1"/>
            </w14:solidFill>
          </w14:textFill>
        </w:rPr>
        <w:t xml:space="preserve">    </w:t>
      </w:r>
    </w:p>
    <w:p>
      <w:pPr>
        <w:spacing w:before="120" w:after="12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党的十八大以来，习近平总书记把握世界发展大势，立足党和国家工作全局，着眼于实现中华民族伟大复兴的中国梦，在关于教育的重要论述中指出，建设教育强国是中华民族伟大复兴的基础工程。为加快推进教育现代化、办好人民满意的教育，明确2021-2025年海口市教育改革和发展的主要目标和重点任务，海口市教育局根据市委、市政府的统一部署，特制定本规划。</w:t>
      </w:r>
    </w:p>
    <w:p>
      <w:pPr>
        <w:spacing w:before="120" w:after="120" w:line="360" w:lineRule="auto"/>
        <w:ind w:firstLine="567"/>
        <w:jc w:val="both"/>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规划性质：</w:t>
      </w:r>
    </w:p>
    <w:p>
      <w:pPr>
        <w:spacing w:before="120" w:after="12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本规划作为海口市国民经济和社会发展第十四个五年规划体系的重要组成部分，是指导“十四五”时期全市教育事业发展的主要文件，是全市各级政府和部门依法履行教育管理职责、编制年度教育工作计划、规划和评审教育改革与发展重大项目、制定实施各项教育政策措施的主要依据。</w:t>
      </w:r>
    </w:p>
    <w:p>
      <w:pPr>
        <w:spacing w:before="120" w:after="120" w:line="360" w:lineRule="auto"/>
        <w:ind w:firstLine="567"/>
        <w:jc w:val="both"/>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规划依据：</w:t>
      </w:r>
    </w:p>
    <w:p>
      <w:pPr>
        <w:spacing w:before="120" w:after="12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法律法规：《中华人民共和国教育法》、《中华人民共和国城乡规划法》、《残疾人教育条例》、《中华人民共和国预防未成年人犯罪法》等。</w:t>
      </w:r>
    </w:p>
    <w:p>
      <w:pPr>
        <w:spacing w:before="120" w:after="12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政策文件与规划：《中国教育现代化2035》（中发【2018】45号）、《中共中央办公厅 国务院办公厅关于印发&lt;加快推进教育现代化实施方案（2018-2022年）&gt;的通知》、《中共中央 国务院关于支持海南全面深化改革开放的指导意见》、《中国教育现代化2035》（琼发【2019】6号）、《教育部 海南省人民政府支持海南深化教育改革开放的实施方案》、《海口市国民经济和社会发展第十四个五年规划和二○三五年远景目标纲要》、《海口市中长期教育改革和发展规划纲要</w:t>
      </w:r>
      <w:r>
        <w:rPr>
          <w:rFonts w:ascii="仿宋_GB2312" w:hAnsi="仿宋_GB2312" w:eastAsia="仿宋_GB2312" w:cs="仿宋_GB2312"/>
          <w:color w:val="000000" w:themeColor="text1"/>
          <w:sz w:val="32"/>
          <w:szCs w:val="32"/>
          <w14:textFill>
            <w14:solidFill>
              <w14:schemeClr w14:val="tx1"/>
            </w14:solidFill>
          </w14:textFill>
        </w:rPr>
        <w:t>(2021-2030年)》</w:t>
      </w:r>
      <w:r>
        <w:rPr>
          <w:rFonts w:hint="eastAsia" w:ascii="仿宋_GB2312" w:hAnsi="仿宋_GB2312" w:eastAsia="仿宋_GB2312" w:cs="仿宋_GB2312"/>
          <w:color w:val="000000" w:themeColor="text1"/>
          <w:sz w:val="32"/>
          <w:szCs w:val="32"/>
          <w14:textFill>
            <w14:solidFill>
              <w14:schemeClr w14:val="tx1"/>
            </w14:solidFill>
          </w14:textFill>
        </w:rPr>
        <w:t>、《海南省学前教育发展布局规划（2020-2035年）》、《海南省中小学教育发展布局规划（2020-2035年）》、《海南加快推进教育现代化行动（2019-2022年）》、《海南省“十四五”教育现代化规划（第二次征求意见稿）》等。</w:t>
      </w:r>
    </w:p>
    <w:p>
      <w:pPr>
        <w:spacing w:before="120" w:after="120" w:line="360" w:lineRule="auto"/>
        <w:ind w:firstLine="567"/>
        <w:jc w:val="both"/>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规划期限：</w:t>
      </w:r>
    </w:p>
    <w:p>
      <w:pPr>
        <w:spacing w:before="120" w:after="12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2021年-2025年。</w:t>
      </w:r>
    </w:p>
    <w:p>
      <w:pPr>
        <w:spacing w:before="120" w:after="120" w:line="360" w:lineRule="auto"/>
        <w:ind w:firstLine="567"/>
        <w:rPr>
          <w:rFonts w:ascii="仿宋_GB2312" w:hAnsi="仿宋_GB2312" w:eastAsia="仿宋_GB2312" w:cs="仿宋_GB2312"/>
          <w:color w:val="000000" w:themeColor="text1"/>
          <w:sz w:val="32"/>
          <w:szCs w:val="32"/>
          <w14:textFill>
            <w14:solidFill>
              <w14:schemeClr w14:val="tx1"/>
            </w14:solidFill>
          </w14:textFill>
        </w:rPr>
      </w:pPr>
    </w:p>
    <w:p>
      <w:pPr>
        <w:pStyle w:val="48"/>
      </w:pPr>
      <w:bookmarkStart w:id="0" w:name="_Toc77102081"/>
      <w:r>
        <w:rPr>
          <w:rFonts w:hint="eastAsia"/>
        </w:rPr>
        <w:t>一、宏观环境分析</w:t>
      </w:r>
      <w:bookmarkEnd w:id="0"/>
    </w:p>
    <w:p>
      <w:pPr>
        <w:pStyle w:val="49"/>
      </w:pPr>
      <w:bookmarkStart w:id="1" w:name="_Toc77102082"/>
      <w:r>
        <w:rPr>
          <w:rFonts w:hint="eastAsia"/>
        </w:rPr>
        <w:t>（一）国际环境</w:t>
      </w:r>
      <w:bookmarkEnd w:id="1"/>
    </w:p>
    <w:p>
      <w:pPr>
        <w:spacing w:before="120" w:after="12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机会与挑战并存。</w:t>
      </w:r>
      <w:r>
        <w:rPr>
          <w:rFonts w:hint="eastAsia" w:ascii="仿宋_GB2312" w:hAnsi="仿宋_GB2312" w:eastAsia="仿宋_GB2312" w:cs="仿宋_GB2312"/>
          <w:color w:val="000000" w:themeColor="text1"/>
          <w:sz w:val="32"/>
          <w:szCs w:val="32"/>
          <w14:textFill>
            <w14:solidFill>
              <w14:schemeClr w14:val="tx1"/>
            </w14:solidFill>
          </w14:textFill>
        </w:rPr>
        <w:t>当今世界正在经历新一轮大发展、大变革、大调整，经济全球化遭遇逆风和回头浪，国际间国家拉锯与竞争愈加激烈，加上当前新冠肺炎疫情重创全球经济，国际新形势与国际投资贸易新规则重塑给中国的发展同时带来了机遇和挑战。教育先行培养人才是中国仍然能够在世界舞台上扮演越来越重要角色的核心竞争力。</w:t>
      </w:r>
    </w:p>
    <w:p>
      <w:pPr>
        <w:spacing w:before="120" w:after="12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“一带一路”合作共赢。</w:t>
      </w:r>
      <w:r>
        <w:rPr>
          <w:rFonts w:hint="eastAsia" w:ascii="仿宋_GB2312" w:hAnsi="仿宋_GB2312" w:eastAsia="仿宋_GB2312" w:cs="仿宋_GB2312"/>
          <w:color w:val="000000" w:themeColor="text1"/>
          <w:sz w:val="32"/>
          <w:szCs w:val="32"/>
          <w14:textFill>
            <w14:solidFill>
              <w14:schemeClr w14:val="tx1"/>
            </w14:solidFill>
          </w14:textFill>
        </w:rPr>
        <w:t>海南以自由贸易试验区、中国特色自由贸易港建设为契机，加快“一带一路”国际合作，打造“一带一路”重要战略支点，构建集南海区域合作、资源开发、生态保护、教育发展以及人文交流等内容于一体，兼具海陆战略枢纽、区域合作平台、对外开放交流窗口等多重功能属性的综合性平台。在“一带一路”中，教育事业合作共赢扮演着重要的角色，通过与“一带一路”沿线国家学校及教育机构战略合作，加强教育与学术交流，让中国教育走向世界舞台的同时，在更高层次、更大范围、更广领域推进教育国际合作，对沿线国家和地区的教育事业发展及人才培养起着积极的作用。</w:t>
      </w:r>
    </w:p>
    <w:p>
      <w:pPr>
        <w:pStyle w:val="49"/>
      </w:pPr>
      <w:bookmarkStart w:id="2" w:name="_Toc77102083"/>
      <w:r>
        <w:rPr>
          <w:rFonts w:hint="eastAsia"/>
        </w:rPr>
        <w:t>（二）内部环境</w:t>
      </w:r>
      <w:bookmarkEnd w:id="2"/>
    </w:p>
    <w:p>
      <w:pPr>
        <w:spacing w:before="120" w:after="12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海口市经济发展稳中有进，支撑教育事业快速发展。</w:t>
      </w:r>
      <w:r>
        <w:rPr>
          <w:rFonts w:hint="eastAsia" w:ascii="仿宋_GB2312" w:hAnsi="仿宋_GB2312" w:eastAsia="仿宋_GB2312" w:cs="仿宋_GB2312"/>
          <w:color w:val="000000" w:themeColor="text1"/>
          <w:sz w:val="32"/>
          <w:szCs w:val="32"/>
          <w14:textFill>
            <w14:solidFill>
              <w14:schemeClr w14:val="tx1"/>
            </w14:solidFill>
          </w14:textFill>
        </w:rPr>
        <w:t>2020年，海口市是全省唯一一个地区生产总值超千亿的城市，达到</w:t>
      </w:r>
      <w:r>
        <w:rPr>
          <w:rFonts w:ascii="仿宋_GB2312" w:hAnsi="仿宋_GB2312" w:eastAsia="仿宋_GB2312" w:cs="仿宋_GB2312"/>
          <w:color w:val="000000" w:themeColor="text1"/>
          <w:sz w:val="32"/>
          <w:szCs w:val="32"/>
          <w14:textFill>
            <w14:solidFill>
              <w14:schemeClr w14:val="tx1"/>
            </w14:solidFill>
          </w14:textFill>
        </w:rPr>
        <w:t>1791.58</w:t>
      </w:r>
      <w:r>
        <w:rPr>
          <w:rFonts w:hint="eastAsia" w:ascii="仿宋_GB2312" w:hAnsi="仿宋_GB2312" w:eastAsia="仿宋_GB2312" w:cs="仿宋_GB2312"/>
          <w:color w:val="000000" w:themeColor="text1"/>
          <w:sz w:val="32"/>
          <w:szCs w:val="32"/>
          <w14:textFill>
            <w14:solidFill>
              <w14:schemeClr w14:val="tx1"/>
            </w14:solidFill>
          </w14:textFill>
        </w:rPr>
        <w:t>亿元，按可比价格计算比2010年翻了一番多，“十三五”时期年均增长</w:t>
      </w:r>
      <w:r>
        <w:rPr>
          <w:rFonts w:ascii="仿宋_GB2312" w:hAnsi="仿宋_GB2312" w:eastAsia="仿宋_GB2312" w:cs="仿宋_GB2312"/>
          <w:color w:val="000000" w:themeColor="text1"/>
          <w:sz w:val="32"/>
          <w:szCs w:val="32"/>
          <w14:textFill>
            <w14:solidFill>
              <w14:schemeClr w14:val="tx1"/>
            </w14:solidFill>
          </w14:textFill>
        </w:rPr>
        <w:t>7.</w:t>
      </w:r>
      <w:r>
        <w:rPr>
          <w:rFonts w:hint="eastAsia" w:ascii="仿宋_GB2312" w:hAnsi="仿宋_GB2312" w:eastAsia="仿宋_GB2312" w:cs="仿宋_GB2312"/>
          <w:color w:val="000000" w:themeColor="text1"/>
          <w:sz w:val="32"/>
          <w:szCs w:val="32"/>
          <w14:textFill>
            <w14:solidFill>
              <w14:schemeClr w14:val="tx1"/>
            </w14:solidFill>
          </w14:textFill>
        </w:rPr>
        <w:t>1</w:t>
      </w:r>
      <w:r>
        <w:rPr>
          <w:rFonts w:ascii="仿宋_GB2312" w:hAnsi="仿宋_GB2312"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，高于全国和全省平均水平。在此背景下，海口市十分重视教育事业的发展，战略性投入倾斜让教育事业快速发展。教育反哺经济，教育事业的快速发展也为海口市经济长期可持续发展提供强有力的支撑。</w:t>
      </w:r>
    </w:p>
    <w:p>
      <w:pPr>
        <w:spacing w:before="120" w:after="12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海口市迎来重大政策利好，对教育质量提升提出更高的要求。</w:t>
      </w:r>
      <w:r>
        <w:rPr>
          <w:rFonts w:hint="eastAsia" w:ascii="仿宋_GB2312" w:hAnsi="仿宋_GB2312" w:eastAsia="仿宋_GB2312" w:cs="仿宋_GB2312"/>
          <w:color w:val="000000" w:themeColor="text1"/>
          <w:sz w:val="32"/>
          <w:szCs w:val="32"/>
          <w14:textFill>
            <w14:solidFill>
              <w14:schemeClr w14:val="tx1"/>
            </w14:solidFill>
          </w14:textFill>
        </w:rPr>
        <w:t>2018年4月，习近平总书记在庆祝海南省办经济特区30周年大会上郑重宣布，党中央决定支持海南全岛建设自由贸易试验区，支持海南逐步探索、稳步推进中国特色自由贸易港建设。习总书记亲自谋划、部署、推动建设海南自由贸易港的政策和制度体系，将海南省的发展引领到了快车道。人才资源的引进和培养是经济发展的核心，教育先行、打造国际教育创新岛对海口市教育事业发展提出了更高的要求。</w:t>
      </w:r>
    </w:p>
    <w:p>
      <w:pPr>
        <w:spacing w:before="120" w:after="12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p>
    <w:p>
      <w:pPr>
        <w:pStyle w:val="48"/>
      </w:pPr>
      <w:bookmarkStart w:id="3" w:name="_Toc77102084"/>
      <w:r>
        <w:rPr>
          <w:rFonts w:hint="eastAsia"/>
        </w:rPr>
        <w:t>二、教育发展基础与面临形势</w:t>
      </w:r>
      <w:bookmarkEnd w:id="3"/>
    </w:p>
    <w:p>
      <w:pPr>
        <w:pStyle w:val="49"/>
      </w:pPr>
      <w:bookmarkStart w:id="4" w:name="_Toc77102085"/>
      <w:r>
        <w:rPr>
          <w:rFonts w:hint="eastAsia" w:ascii="楷体" w:hAnsi="楷体"/>
        </w:rPr>
        <w:t>（一）</w:t>
      </w:r>
      <w:r>
        <w:rPr>
          <w:rFonts w:hint="eastAsia"/>
        </w:rPr>
        <w:t>教育规模实现增长，教育普及程度提高</w:t>
      </w:r>
      <w:bookmarkEnd w:id="4"/>
    </w:p>
    <w:p>
      <w:pPr>
        <w:spacing w:before="120" w:after="12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sz w:val="32"/>
          <w:szCs w:val="32"/>
        </w:rPr>
        <w:t>一是学前教育基本普及。</w:t>
      </w:r>
      <w:r>
        <w:rPr>
          <w:rFonts w:hint="eastAsia" w:ascii="仿宋_GB2312" w:hAnsi="仿宋_GB2312" w:eastAsia="仿宋_GB2312" w:cs="仿宋_GB2312"/>
          <w:sz w:val="32"/>
          <w:szCs w:val="32"/>
        </w:rPr>
        <w:t>《海口市普惠性民办幼儿园认定及管理办法》制定出台，进一步向普惠性民办园倾斜更多的资金和政策支持。全市共有幼儿园</w:t>
      </w:r>
      <w:r>
        <w:rPr>
          <w:rFonts w:ascii="仿宋_GB2312" w:hAnsi="仿宋_GB2312" w:eastAsia="仿宋_GB2312" w:cs="仿宋_GB2312"/>
          <w:sz w:val="32"/>
          <w:szCs w:val="32"/>
        </w:rPr>
        <w:t>769所、在园幼儿10.73</w:t>
      </w:r>
      <w:r>
        <w:rPr>
          <w:rFonts w:hint="eastAsia" w:ascii="仿宋_GB2312" w:hAnsi="仿宋_GB2312" w:eastAsia="仿宋_GB2312" w:cs="仿宋_GB2312"/>
          <w:sz w:val="32"/>
          <w:szCs w:val="32"/>
        </w:rPr>
        <w:t>万名，公办幼儿园学位</w:t>
      </w:r>
      <w:r>
        <w:rPr>
          <w:rFonts w:ascii="仿宋_GB2312" w:hAnsi="仿宋_GB2312" w:eastAsia="仿宋_GB2312" w:cs="仿宋_GB2312"/>
          <w:sz w:val="32"/>
          <w:szCs w:val="32"/>
        </w:rPr>
        <w:t>5.67万个、占比52.88%，普惠性民办幼儿园总学位3.33</w:t>
      </w:r>
      <w:r>
        <w:rPr>
          <w:rFonts w:hint="eastAsia" w:ascii="仿宋_GB2312" w:hAnsi="仿宋_GB2312" w:eastAsia="仿宋_GB2312" w:cs="仿宋_GB2312"/>
          <w:sz w:val="32"/>
          <w:szCs w:val="32"/>
        </w:rPr>
        <w:t>万个、占比</w:t>
      </w:r>
      <w:r>
        <w:rPr>
          <w:rFonts w:ascii="仿宋_GB2312" w:hAnsi="仿宋_GB2312" w:eastAsia="仿宋_GB2312" w:cs="仿宋_GB2312"/>
          <w:sz w:val="32"/>
          <w:szCs w:val="32"/>
        </w:rPr>
        <w:t>31.05%，实现学前教育两个比例达到国家要求，满足了人民群众基本教育需求，</w:t>
      </w:r>
      <w:r>
        <w:rPr>
          <w:rFonts w:hint="eastAsia" w:ascii="仿宋_GB2312" w:hAnsi="仿宋_GB2312" w:eastAsia="仿宋_GB2312" w:cs="仿宋_GB2312"/>
          <w:sz w:val="32"/>
          <w:szCs w:val="32"/>
        </w:rPr>
        <w:t>极大地缓解了“入公办园难、入民办园贵”的问题。全市学前教育三年毛入园率</w:t>
      </w:r>
      <w:r>
        <w:rPr>
          <w:rFonts w:ascii="仿宋_GB2312" w:hAnsi="仿宋_GB2312" w:eastAsia="仿宋_GB2312" w:cs="仿宋_GB2312"/>
          <w:sz w:val="32"/>
          <w:szCs w:val="32"/>
        </w:rPr>
        <w:t>90%，超过全省平均水平，顺利完成学前教育第三轮行动计划。</w:t>
      </w:r>
    </w:p>
    <w:p>
      <w:pPr>
        <w:spacing w:before="120" w:after="120" w:line="360" w:lineRule="auto"/>
        <w:jc w:val="both"/>
        <w:rPr>
          <w:color w:val="000000" w:themeColor="text1"/>
          <w:lang w:val="en-US"/>
          <w14:textFill>
            <w14:solidFill>
              <w14:schemeClr w14:val="tx1"/>
            </w14:solidFill>
          </w14:textFill>
        </w:rPr>
      </w:pPr>
      <w:r>
        <w:rPr>
          <w:color w:val="000000" w:themeColor="text1"/>
          <w:lang w:val="en-US"/>
          <w14:textFill>
            <w14:solidFill>
              <w14:schemeClr w14:val="tx1"/>
            </w14:solidFill>
          </w14:textFill>
        </w:rPr>
        <w:drawing>
          <wp:inline distT="0" distB="0" distL="0" distR="0">
            <wp:extent cx="6230620" cy="28225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230620" cy="2822575"/>
                    </a:xfrm>
                    <a:prstGeom prst="rect">
                      <a:avLst/>
                    </a:prstGeom>
                    <a:noFill/>
                  </pic:spPr>
                </pic:pic>
              </a:graphicData>
            </a:graphic>
          </wp:inline>
        </w:drawing>
      </w:r>
    </w:p>
    <w:p>
      <w:pPr>
        <w:spacing w:before="120" w:after="120" w:line="360" w:lineRule="auto"/>
        <w:ind w:firstLine="567"/>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二是义务教育均衡发展。</w:t>
      </w:r>
      <w:r>
        <w:rPr>
          <w:rFonts w:hint="eastAsia" w:ascii="仿宋_GB2312" w:hAnsi="仿宋_GB2312" w:eastAsia="仿宋_GB2312" w:cs="仿宋_GB2312"/>
          <w:color w:val="000000" w:themeColor="text1"/>
          <w:sz w:val="32"/>
          <w:szCs w:val="32"/>
          <w14:textFill>
            <w14:solidFill>
              <w14:schemeClr w14:val="tx1"/>
            </w14:solidFill>
          </w14:textFill>
        </w:rPr>
        <w:t>全市义务教育阶段共有学校</w:t>
      </w:r>
      <w:r>
        <w:rPr>
          <w:rFonts w:ascii="仿宋_GB2312" w:hAnsi="仿宋_GB2312" w:eastAsia="仿宋_GB2312" w:cs="仿宋_GB2312"/>
          <w:color w:val="000000" w:themeColor="text1"/>
          <w:sz w:val="32"/>
          <w:szCs w:val="32"/>
          <w14:textFill>
            <w14:solidFill>
              <w14:schemeClr w14:val="tx1"/>
            </w14:solidFill>
          </w14:textFill>
        </w:rPr>
        <w:t>267</w:t>
      </w:r>
      <w:r>
        <w:rPr>
          <w:rFonts w:hint="eastAsia" w:ascii="仿宋_GB2312" w:hAnsi="仿宋_GB2312" w:eastAsia="仿宋_GB2312" w:cs="仿宋_GB2312"/>
          <w:color w:val="000000" w:themeColor="text1"/>
          <w:sz w:val="32"/>
          <w:szCs w:val="32"/>
          <w14:textFill>
            <w14:solidFill>
              <w14:schemeClr w14:val="tx1"/>
            </w14:solidFill>
          </w14:textFill>
        </w:rPr>
        <w:t>所（其中有29所省级规范化学校，154所市级规范化学校）、在校生</w:t>
      </w:r>
      <w:r>
        <w:rPr>
          <w:rFonts w:ascii="仿宋_GB2312" w:hAnsi="仿宋_GB2312" w:eastAsia="仿宋_GB2312" w:cs="仿宋_GB2312"/>
          <w:color w:val="000000" w:themeColor="text1"/>
          <w:sz w:val="32"/>
          <w:szCs w:val="32"/>
          <w14:textFill>
            <w14:solidFill>
              <w14:schemeClr w14:val="tx1"/>
            </w14:solidFill>
          </w14:textFill>
        </w:rPr>
        <w:t>31.55</w:t>
      </w:r>
      <w:r>
        <w:rPr>
          <w:rFonts w:hint="eastAsia" w:ascii="仿宋_GB2312" w:hAnsi="仿宋_GB2312" w:eastAsia="仿宋_GB2312" w:cs="仿宋_GB2312"/>
          <w:color w:val="000000" w:themeColor="text1"/>
          <w:sz w:val="32"/>
          <w:szCs w:val="32"/>
          <w14:textFill>
            <w14:solidFill>
              <w14:schemeClr w14:val="tx1"/>
            </w14:solidFill>
          </w14:textFill>
        </w:rPr>
        <w:t>万人（小学生</w:t>
      </w:r>
      <w:r>
        <w:rPr>
          <w:rFonts w:ascii="仿宋_GB2312" w:hAnsi="仿宋_GB2312" w:eastAsia="仿宋_GB2312" w:cs="仿宋_GB2312"/>
          <w:color w:val="000000" w:themeColor="text1"/>
          <w:sz w:val="32"/>
          <w:szCs w:val="32"/>
          <w14:textFill>
            <w14:solidFill>
              <w14:schemeClr w14:val="tx1"/>
            </w14:solidFill>
          </w14:textFill>
        </w:rPr>
        <w:t>22.69</w:t>
      </w:r>
      <w:r>
        <w:rPr>
          <w:rFonts w:hint="eastAsia" w:ascii="仿宋_GB2312" w:hAnsi="仿宋_GB2312" w:eastAsia="仿宋_GB2312" w:cs="仿宋_GB2312"/>
          <w:color w:val="000000" w:themeColor="text1"/>
          <w:sz w:val="32"/>
          <w:szCs w:val="32"/>
          <w14:textFill>
            <w14:solidFill>
              <w14:schemeClr w14:val="tx1"/>
            </w14:solidFill>
          </w14:textFill>
        </w:rPr>
        <w:t>万，初中生</w:t>
      </w:r>
      <w:r>
        <w:rPr>
          <w:rFonts w:ascii="仿宋_GB2312" w:hAnsi="仿宋_GB2312" w:eastAsia="仿宋_GB2312" w:cs="仿宋_GB2312"/>
          <w:color w:val="000000" w:themeColor="text1"/>
          <w:sz w:val="32"/>
          <w:szCs w:val="32"/>
          <w14:textFill>
            <w14:solidFill>
              <w14:schemeClr w14:val="tx1"/>
            </w14:solidFill>
          </w14:textFill>
        </w:rPr>
        <w:t>8.86</w:t>
      </w:r>
      <w:r>
        <w:rPr>
          <w:rFonts w:hint="eastAsia" w:ascii="仿宋_GB2312" w:hAnsi="仿宋_GB2312" w:eastAsia="仿宋_GB2312" w:cs="仿宋_GB2312"/>
          <w:color w:val="000000" w:themeColor="text1"/>
          <w:sz w:val="32"/>
          <w:szCs w:val="32"/>
          <w14:textFill>
            <w14:solidFill>
              <w14:schemeClr w14:val="tx1"/>
            </w14:solidFill>
          </w14:textFill>
        </w:rPr>
        <w:t>万）、专任教师</w:t>
      </w:r>
      <w:r>
        <w:rPr>
          <w:rFonts w:ascii="仿宋_GB2312" w:hAnsi="仿宋_GB2312" w:eastAsia="仿宋_GB2312" w:cs="仿宋_GB2312"/>
          <w:color w:val="000000" w:themeColor="text1"/>
          <w:sz w:val="32"/>
          <w:szCs w:val="32"/>
          <w14:textFill>
            <w14:solidFill>
              <w14:schemeClr w14:val="tx1"/>
            </w14:solidFill>
          </w14:textFill>
        </w:rPr>
        <w:t>1.8万人，毛入学率100%</w:t>
      </w:r>
      <w:r>
        <w:rPr>
          <w:rFonts w:hint="eastAsia" w:ascii="仿宋_GB2312" w:hAnsi="仿宋_GB2312" w:eastAsia="仿宋_GB2312" w:cs="仿宋_GB2312"/>
          <w:color w:val="000000" w:themeColor="text1"/>
          <w:sz w:val="32"/>
          <w:szCs w:val="32"/>
          <w14:textFill>
            <w14:solidFill>
              <w14:schemeClr w14:val="tx1"/>
            </w14:solidFill>
          </w14:textFill>
        </w:rPr>
        <w:t>，九年义务教育巩固率达</w:t>
      </w:r>
      <w:r>
        <w:rPr>
          <w:rFonts w:ascii="仿宋_GB2312" w:hAnsi="仿宋_GB2312" w:eastAsia="仿宋_GB2312" w:cs="仿宋_GB2312"/>
          <w:color w:val="000000" w:themeColor="text1"/>
          <w:sz w:val="32"/>
          <w:szCs w:val="32"/>
          <w14:textFill>
            <w14:solidFill>
              <w14:schemeClr w14:val="tx1"/>
            </w14:solidFill>
          </w14:textFill>
        </w:rPr>
        <w:t>99.98%</w:t>
      </w:r>
      <w:r>
        <w:rPr>
          <w:rFonts w:hint="eastAsia" w:ascii="仿宋_GB2312" w:hAnsi="仿宋_GB2312" w:eastAsia="仿宋_GB2312" w:cs="仿宋_GB2312"/>
          <w:color w:val="000000" w:themeColor="text1"/>
          <w:sz w:val="32"/>
          <w:szCs w:val="32"/>
          <w14:textFill>
            <w14:solidFill>
              <w14:schemeClr w14:val="tx1"/>
            </w14:solidFill>
          </w14:textFill>
        </w:rPr>
        <w:t>。实施全面改薄、省级食品安全示范学校食堂建设、农村小规模学校和城镇寄宿制学校建设等一系列工程，彻底消除了农村义务教育大班额，城区大班额控制在</w:t>
      </w:r>
      <w:r>
        <w:rPr>
          <w:rFonts w:ascii="仿宋_GB2312" w:hAnsi="仿宋_GB2312" w:eastAsia="仿宋_GB2312" w:cs="仿宋_GB2312"/>
          <w:color w:val="000000" w:themeColor="text1"/>
          <w:sz w:val="32"/>
          <w:szCs w:val="32"/>
          <w14:textFill>
            <w14:solidFill>
              <w14:schemeClr w14:val="tx1"/>
            </w14:solidFill>
          </w14:textFill>
        </w:rPr>
        <w:t>5%以下</w:t>
      </w:r>
      <w:r>
        <w:rPr>
          <w:rFonts w:hint="eastAsia" w:ascii="仿宋_GB2312" w:hAnsi="仿宋_GB2312" w:eastAsia="仿宋_GB2312" w:cs="仿宋_GB2312"/>
          <w:color w:val="000000" w:themeColor="text1"/>
          <w:sz w:val="32"/>
          <w:szCs w:val="32"/>
          <w14:textFill>
            <w14:solidFill>
              <w14:schemeClr w14:val="tx1"/>
            </w14:solidFill>
          </w14:textFill>
        </w:rPr>
        <w:t>，全面落实免试就近划片入学，全市四个区全部实现县域内义务教育基本均衡发展。在教育管理方面，依托大数据完成国内首创的智慧招生，打造义务教育招生平台，整合公安、住建、资规、人社、卫计、教育等部门信息资源，实现了义务教育招生从登记、报名、审核、录取到查询的一站式服务，初审由原来的一个月缩短到</w:t>
      </w:r>
      <w:r>
        <w:rPr>
          <w:rFonts w:ascii="仿宋_GB2312" w:hAnsi="仿宋_GB2312" w:eastAsia="仿宋_GB2312" w:cs="仿宋_GB2312"/>
          <w:color w:val="000000" w:themeColor="text1"/>
          <w:sz w:val="32"/>
          <w:szCs w:val="32"/>
          <w14:textFill>
            <w14:solidFill>
              <w14:schemeClr w14:val="tx1"/>
            </w14:solidFill>
          </w14:textFill>
        </w:rPr>
        <w:t>10天。</w:t>
      </w:r>
    </w:p>
    <w:p>
      <w:pPr>
        <w:spacing w:before="120" w:after="120" w:line="360" w:lineRule="auto"/>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drawing>
          <wp:inline distT="0" distB="0" distL="0" distR="0">
            <wp:extent cx="6230620" cy="409067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230620" cy="4090670"/>
                    </a:xfrm>
                    <a:prstGeom prst="rect">
                      <a:avLst/>
                    </a:prstGeom>
                    <a:noFill/>
                  </pic:spPr>
                </pic:pic>
              </a:graphicData>
            </a:graphic>
          </wp:inline>
        </w:drawing>
      </w:r>
    </w:p>
    <w:p>
      <w:pPr>
        <w:spacing w:before="120" w:after="120" w:line="360" w:lineRule="auto"/>
        <w:ind w:firstLine="567"/>
        <w:rPr>
          <w:rFonts w:ascii="仿宋_GB2312" w:hAnsi="仿宋_GB2312" w:eastAsia="仿宋_GB2312" w:cs="仿宋_GB2312"/>
          <w:color w:val="000000" w:themeColor="text1"/>
          <w:sz w:val="32"/>
          <w:szCs w:val="32"/>
          <w:lang w:val="en-US"/>
          <w14:textFill>
            <w14:solidFill>
              <w14:schemeClr w14:val="tx1"/>
            </w14:solidFill>
          </w14:textFill>
        </w:rPr>
      </w:pPr>
      <w:r>
        <w:rPr>
          <w:rFonts w:hint="eastAsia" w:ascii="仿宋_GB2312" w:hAnsi="仿宋_GB2312" w:eastAsia="仿宋_GB2312" w:cs="仿宋_GB2312"/>
          <w:b/>
          <w:bCs/>
          <w:color w:val="000000" w:themeColor="text1"/>
          <w:sz w:val="32"/>
          <w:szCs w:val="32"/>
          <w:lang w:val="en-US"/>
          <w14:textFill>
            <w14:solidFill>
              <w14:schemeClr w14:val="tx1"/>
            </w14:solidFill>
          </w14:textFill>
        </w:rPr>
        <w:t>三是高中阶段教育优质发展。</w:t>
      </w:r>
      <w:r>
        <w:rPr>
          <w:rFonts w:hint="eastAsia" w:ascii="仿宋_GB2312" w:hAnsi="仿宋_GB2312" w:eastAsia="仿宋_GB2312" w:cs="仿宋_GB2312"/>
          <w:color w:val="000000" w:themeColor="text1"/>
          <w:sz w:val="32"/>
          <w:szCs w:val="32"/>
          <w:lang w:val="en-US"/>
          <w14:textFill>
            <w14:solidFill>
              <w14:schemeClr w14:val="tx1"/>
            </w14:solidFill>
          </w14:textFill>
        </w:rPr>
        <w:t>全市共有普通高中30所、学生4.38万，中等职业学校12所、学生1.39万人。普高学生和中职学生的招生比例接近1:1，高中阶段教育毛入学率达92%。普通高中教育优质资源覆盖范围显著扩大，有5所省一级甲等高中学校；职业教育服务能力显著增强，有国家中等职业教育改革发展示范校1所、国家级重点中等职业学校2所、省级重点中等职业学校1所。海口旅游职业学校2020年荣获教育部文化素质教指委首批“课程思政研究中心”，是我省唯一一所职业学校获取殊荣。</w:t>
      </w:r>
    </w:p>
    <w:p>
      <w:pPr>
        <w:spacing w:before="120" w:after="120" w:line="360" w:lineRule="auto"/>
        <w:rPr>
          <w:rFonts w:ascii="仿宋_GB2312" w:hAnsi="仿宋_GB2312" w:eastAsia="仿宋_GB2312" w:cs="仿宋_GB2312"/>
          <w:bCs/>
          <w:color w:val="000000" w:themeColor="text1"/>
          <w:sz w:val="32"/>
          <w:szCs w:val="32"/>
          <w:lang w:val="en-US"/>
          <w14:textFill>
            <w14:solidFill>
              <w14:schemeClr w14:val="tx1"/>
            </w14:solidFill>
          </w14:textFill>
        </w:rPr>
      </w:pPr>
      <w:r>
        <w:rPr>
          <w:rFonts w:ascii="仿宋_GB2312" w:hAnsi="仿宋_GB2312" w:eastAsia="仿宋_GB2312" w:cs="仿宋_GB2312"/>
          <w:bCs/>
          <w:color w:val="000000" w:themeColor="text1"/>
          <w:sz w:val="32"/>
          <w:szCs w:val="32"/>
          <w:lang w:val="en-US"/>
          <w14:textFill>
            <w14:solidFill>
              <w14:schemeClr w14:val="tx1"/>
            </w14:solidFill>
          </w14:textFill>
        </w:rPr>
        <w:drawing>
          <wp:inline distT="0" distB="0" distL="0" distR="0">
            <wp:extent cx="6230620" cy="43834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230620" cy="4383405"/>
                    </a:xfrm>
                    <a:prstGeom prst="rect">
                      <a:avLst/>
                    </a:prstGeom>
                    <a:noFill/>
                  </pic:spPr>
                </pic:pic>
              </a:graphicData>
            </a:graphic>
          </wp:inline>
        </w:drawing>
      </w:r>
    </w:p>
    <w:p>
      <w:pPr>
        <w:spacing w:before="120" w:after="120" w:line="360" w:lineRule="auto"/>
        <w:ind w:firstLine="567"/>
        <w:jc w:val="both"/>
        <w:rPr>
          <w:rFonts w:ascii="仿宋_GB2312" w:hAnsi="仿宋_GB2312" w:eastAsia="仿宋_GB2312" w:cs="仿宋_GB2312"/>
          <w:color w:val="000000" w:themeColor="text1"/>
          <w:sz w:val="32"/>
          <w:szCs w:val="32"/>
          <w:lang w:val="en-US"/>
          <w14:textFill>
            <w14:solidFill>
              <w14:schemeClr w14:val="tx1"/>
            </w14:solidFill>
          </w14:textFill>
        </w:rPr>
      </w:pPr>
      <w:r>
        <w:rPr>
          <w:rFonts w:hint="eastAsia" w:ascii="仿宋_GB2312" w:hAnsi="仿宋_GB2312" w:eastAsia="仿宋_GB2312" w:cs="仿宋_GB2312"/>
          <w:b/>
          <w:bCs/>
          <w:color w:val="000000" w:themeColor="text1"/>
          <w:sz w:val="32"/>
          <w:szCs w:val="32"/>
          <w:lang w:val="en-US"/>
          <w14:textFill>
            <w14:solidFill>
              <w14:schemeClr w14:val="tx1"/>
            </w14:solidFill>
          </w14:textFill>
        </w:rPr>
        <w:t>四是民办教育蓬勃发展。</w:t>
      </w:r>
      <w:r>
        <w:rPr>
          <w:rFonts w:hint="eastAsia" w:ascii="仿宋_GB2312" w:hAnsi="仿宋_GB2312" w:eastAsia="仿宋_GB2312" w:cs="仿宋_GB2312"/>
          <w:color w:val="000000" w:themeColor="text1"/>
          <w:sz w:val="32"/>
          <w:szCs w:val="32"/>
          <w:lang w:val="en-US"/>
          <w14:textFill>
            <w14:solidFill>
              <w14:schemeClr w14:val="tx1"/>
            </w14:solidFill>
          </w14:textFill>
        </w:rPr>
        <w:t>积极鼓励社会力量出资、捐资办学和以多种形式兴办教育，采取政府购买服务、专项经费资助和奖励等方式扶持民办教育发展，其中，北大附中海口学校、北大附小海口学校（含幼儿园）、海口哈罗外籍人员子女学校、哈罗国际（中国）礼德学校（含幼儿园）、海口德威（德闳）国际公学等优质民办学校落户海口市。目前，全市有各级各类民办教育机构</w:t>
      </w:r>
      <w:r>
        <w:rPr>
          <w:rFonts w:ascii="仿宋_GB2312" w:hAnsi="仿宋_GB2312" w:eastAsia="仿宋_GB2312" w:cs="仿宋_GB2312"/>
          <w:color w:val="000000" w:themeColor="text1"/>
          <w:sz w:val="32"/>
          <w:szCs w:val="32"/>
          <w:lang w:val="en-US"/>
          <w14:textFill>
            <w14:solidFill>
              <w14:schemeClr w14:val="tx1"/>
            </w14:solidFill>
          </w14:textFill>
        </w:rPr>
        <w:t>1050</w:t>
      </w:r>
      <w:r>
        <w:rPr>
          <w:rFonts w:hint="eastAsia" w:ascii="仿宋_GB2312" w:hAnsi="仿宋_GB2312" w:eastAsia="仿宋_GB2312" w:cs="仿宋_GB2312"/>
          <w:color w:val="000000" w:themeColor="text1"/>
          <w:sz w:val="32"/>
          <w:szCs w:val="32"/>
          <w:lang w:val="en-US"/>
          <w14:textFill>
            <w14:solidFill>
              <w14:schemeClr w14:val="tx1"/>
            </w14:solidFill>
          </w14:textFill>
        </w:rPr>
        <w:t>个，基本形成多元化办学格局。</w:t>
      </w:r>
    </w:p>
    <w:p>
      <w:pPr>
        <w:spacing w:before="120" w:after="120" w:line="360" w:lineRule="auto"/>
        <w:jc w:val="both"/>
        <w:rPr>
          <w:rFonts w:ascii="仿宋_GB2312" w:hAnsi="仿宋_GB2312" w:eastAsia="仿宋_GB2312" w:cs="仿宋_GB2312"/>
          <w:color w:val="000000" w:themeColor="text1"/>
          <w:sz w:val="32"/>
          <w:szCs w:val="32"/>
          <w:lang w:val="en-US"/>
          <w14:textFill>
            <w14:solidFill>
              <w14:schemeClr w14:val="tx1"/>
            </w14:solidFill>
          </w14:textFill>
        </w:rPr>
      </w:pPr>
      <w:r>
        <w:rPr>
          <w:rFonts w:ascii="仿宋_GB2312" w:hAnsi="仿宋_GB2312" w:eastAsia="仿宋_GB2312" w:cs="仿宋_GB2312"/>
          <w:color w:val="000000" w:themeColor="text1"/>
          <w:sz w:val="32"/>
          <w:szCs w:val="32"/>
          <w:lang w:val="en-US"/>
          <w14:textFill>
            <w14:solidFill>
              <w14:schemeClr w14:val="tx1"/>
            </w14:solidFill>
          </w14:textFill>
        </w:rPr>
        <w:drawing>
          <wp:inline distT="0" distB="0" distL="0" distR="0">
            <wp:extent cx="6230620" cy="5200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230620" cy="5200650"/>
                    </a:xfrm>
                    <a:prstGeom prst="rect">
                      <a:avLst/>
                    </a:prstGeom>
                    <a:noFill/>
                  </pic:spPr>
                </pic:pic>
              </a:graphicData>
            </a:graphic>
          </wp:inline>
        </w:drawing>
      </w:r>
    </w:p>
    <w:p>
      <w:pPr>
        <w:pStyle w:val="49"/>
      </w:pPr>
      <w:r>
        <w:rPr>
          <w:rFonts w:ascii="仿宋_GB2312" w:hAnsi="仿宋_GB2312" w:eastAsia="仿宋_GB2312" w:cs="仿宋_GB2312"/>
        </w:rPr>
        <w:br w:type="page"/>
      </w:r>
      <w:bookmarkStart w:id="5" w:name="_Toc77102086"/>
      <w:r>
        <w:rPr>
          <w:rFonts w:hint="eastAsia"/>
        </w:rPr>
        <w:t>（二）教育公平取得新突破</w:t>
      </w:r>
      <w:bookmarkEnd w:id="5"/>
    </w:p>
    <w:p>
      <w:pPr>
        <w:pStyle w:val="38"/>
      </w:pPr>
      <w:r>
        <w:drawing>
          <wp:inline distT="0" distB="0" distL="0" distR="0">
            <wp:extent cx="6108700" cy="3426460"/>
            <wp:effectExtent l="0" t="0" r="635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108700" cy="3426460"/>
                    </a:xfrm>
                    <a:prstGeom prst="rect">
                      <a:avLst/>
                    </a:prstGeom>
                    <a:noFill/>
                  </pic:spPr>
                </pic:pic>
              </a:graphicData>
            </a:graphic>
          </wp:inline>
        </w:drawing>
      </w:r>
    </w:p>
    <w:p>
      <w:pPr>
        <w:spacing w:before="120" w:after="120" w:line="360" w:lineRule="auto"/>
        <w:ind w:firstLine="567"/>
        <w:jc w:val="both"/>
        <w:rPr>
          <w:rFonts w:ascii="仿宋_GB2312" w:hAnsi="仿宋_GB2312" w:eastAsia="仿宋_GB2312" w:cs="仿宋_GB2312"/>
          <w:color w:val="000000" w:themeColor="text1"/>
          <w:sz w:val="32"/>
          <w:szCs w:val="32"/>
          <w:lang w:val="en-US"/>
          <w14:textFill>
            <w14:solidFill>
              <w14:schemeClr w14:val="tx1"/>
            </w14:solidFill>
          </w14:textFill>
        </w:rPr>
      </w:pPr>
      <w:r>
        <w:rPr>
          <w:rFonts w:hint="eastAsia" w:ascii="仿宋_GB2312" w:hAnsi="仿宋_GB2312" w:eastAsia="仿宋_GB2312" w:cs="仿宋_GB2312"/>
          <w:b/>
          <w:bCs/>
          <w:color w:val="000000" w:themeColor="text1"/>
          <w:sz w:val="32"/>
          <w:szCs w:val="32"/>
          <w:lang w:val="en-US"/>
          <w14:textFill>
            <w14:solidFill>
              <w14:schemeClr w14:val="tx1"/>
            </w14:solidFill>
          </w14:textFill>
        </w:rPr>
        <w:t>一是教育投入得到市级财政重点倾斜。</w:t>
      </w:r>
      <w:r>
        <w:rPr>
          <w:rFonts w:hint="eastAsia" w:ascii="仿宋_GB2312" w:hAnsi="仿宋_GB2312" w:eastAsia="仿宋_GB2312" w:cs="仿宋_GB2312"/>
          <w:color w:val="000000" w:themeColor="text1"/>
          <w:sz w:val="32"/>
          <w:szCs w:val="32"/>
          <w:lang w:val="en-US"/>
          <w14:textFill>
            <w14:solidFill>
              <w14:schemeClr w14:val="tx1"/>
            </w14:solidFill>
          </w14:textFill>
        </w:rPr>
        <w:t>“十三五”期间，海口市不断完善公共教育财政体制，增加政府对教育的经常性投入和专项投入。年均教育投入超过了36.76亿元。教育投入向学前教育和义务教育重点倾斜，同时大力投资特殊教育学校。</w:t>
      </w:r>
    </w:p>
    <w:p>
      <w:pPr>
        <w:spacing w:before="120" w:after="120" w:line="360" w:lineRule="auto"/>
        <w:ind w:firstLine="567"/>
        <w:jc w:val="both"/>
        <w:rPr>
          <w:rFonts w:ascii="仿宋_GB2312" w:hAnsi="仿宋_GB2312" w:eastAsia="仿宋_GB2312" w:cs="仿宋_GB2312"/>
          <w:color w:val="000000" w:themeColor="text1"/>
          <w:sz w:val="32"/>
          <w:szCs w:val="32"/>
          <w:lang w:val="en-US"/>
          <w14:textFill>
            <w14:solidFill>
              <w14:schemeClr w14:val="tx1"/>
            </w14:solidFill>
          </w14:textFill>
        </w:rPr>
      </w:pPr>
      <w:r>
        <w:rPr>
          <w:rFonts w:hint="eastAsia" w:ascii="仿宋_GB2312" w:hAnsi="仿宋_GB2312" w:eastAsia="仿宋_GB2312" w:cs="仿宋_GB2312"/>
          <w:b/>
          <w:bCs/>
          <w:color w:val="000000" w:themeColor="text1"/>
          <w:sz w:val="32"/>
          <w:szCs w:val="32"/>
          <w:lang w:val="en-US"/>
          <w14:textFill>
            <w14:solidFill>
              <w14:schemeClr w14:val="tx1"/>
            </w14:solidFill>
          </w14:textFill>
        </w:rPr>
        <w:t>二是学位紧张问题得以缓解。</w:t>
      </w:r>
      <w:r>
        <w:rPr>
          <w:rFonts w:hint="eastAsia" w:ascii="仿宋_GB2312" w:hAnsi="仿宋_GB2312" w:eastAsia="仿宋_GB2312" w:cs="仿宋_GB2312"/>
          <w:color w:val="000000" w:themeColor="text1"/>
          <w:sz w:val="32"/>
          <w:szCs w:val="32"/>
          <w:lang w:val="en-US"/>
          <w14:textFill>
            <w14:solidFill>
              <w14:schemeClr w14:val="tx1"/>
            </w14:solidFill>
          </w14:textFill>
        </w:rPr>
        <w:t>制定“一校两园”建设计划并全面实施，中小学校新建16所、改扩建16所，新增4.5万个公办学位。</w:t>
      </w:r>
    </w:p>
    <w:p>
      <w:pPr>
        <w:spacing w:before="120" w:after="120" w:line="360" w:lineRule="auto"/>
        <w:ind w:firstLine="567"/>
        <w:jc w:val="both"/>
        <w:rPr>
          <w:rFonts w:ascii="仿宋_GB2312" w:hAnsi="仿宋_GB2312" w:eastAsia="仿宋_GB2312" w:cs="仿宋_GB2312"/>
          <w:color w:val="000000" w:themeColor="text1"/>
          <w:sz w:val="32"/>
          <w:szCs w:val="32"/>
          <w:lang w:val="en-US"/>
          <w14:textFill>
            <w14:solidFill>
              <w14:schemeClr w14:val="tx1"/>
            </w14:solidFill>
          </w14:textFill>
        </w:rPr>
      </w:pPr>
      <w:r>
        <w:rPr>
          <w:rFonts w:hint="eastAsia" w:ascii="仿宋_GB2312" w:hAnsi="仿宋_GB2312" w:eastAsia="仿宋_GB2312" w:cs="仿宋_GB2312"/>
          <w:b/>
          <w:bCs/>
          <w:color w:val="000000" w:themeColor="text1"/>
          <w:sz w:val="32"/>
          <w:szCs w:val="32"/>
          <w:lang w:val="en-US"/>
          <w14:textFill>
            <w14:solidFill>
              <w14:schemeClr w14:val="tx1"/>
            </w14:solidFill>
          </w14:textFill>
        </w:rPr>
        <w:t>三是教育公平得到体现。</w:t>
      </w:r>
      <w:r>
        <w:rPr>
          <w:rFonts w:hint="eastAsia" w:ascii="仿宋_GB2312" w:hAnsi="仿宋_GB2312" w:eastAsia="仿宋_GB2312" w:cs="仿宋_GB2312"/>
          <w:color w:val="000000" w:themeColor="text1"/>
          <w:sz w:val="32"/>
          <w:szCs w:val="32"/>
          <w:lang w:val="en-US"/>
          <w14:textFill>
            <w14:solidFill>
              <w14:schemeClr w14:val="tx1"/>
            </w14:solidFill>
          </w14:textFill>
        </w:rPr>
        <w:t>教育精准扶贫扎实开展。资助资金精准发放，确保教育扶贫“不漏一户，不落一生”。完成建档立卡学生控辍保学工作，建档立卡学生辍学率为0%。遵循“两个为主”的原则，42%以上的非海口户籍学生在本市就读，依法保障了农村务工人员随迁子女接受义务教育的权利；逐步完善了残疾学生和家庭经济困难学生等弱势群体的教育资助政策；积极落实了中职学生免费教育政策和大学生生源地助学贷款政策。</w:t>
      </w:r>
    </w:p>
    <w:p>
      <w:pPr>
        <w:pStyle w:val="49"/>
      </w:pPr>
      <w:bookmarkStart w:id="6" w:name="_Toc77102087"/>
      <w:r>
        <w:rPr>
          <w:rFonts w:hint="eastAsia"/>
        </w:rPr>
        <w:t>（三）教师队伍建设取得新成效</w:t>
      </w:r>
      <w:bookmarkEnd w:id="6"/>
    </w:p>
    <w:p>
      <w:pPr>
        <w:spacing w:before="120" w:after="12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一是全面引进教育教学人才。</w:t>
      </w:r>
      <w:r>
        <w:rPr>
          <w:rFonts w:hint="eastAsia" w:ascii="仿宋_GB2312" w:hAnsi="仿宋_GB2312" w:eastAsia="仿宋_GB2312" w:cs="仿宋_GB2312"/>
          <w:color w:val="000000" w:themeColor="text1"/>
          <w:sz w:val="32"/>
          <w:szCs w:val="32"/>
          <w14:textFill>
            <w14:solidFill>
              <w14:schemeClr w14:val="tx1"/>
            </w14:solidFill>
          </w14:textFill>
        </w:rPr>
        <w:t>持续落实好“百万人才进海南”行动计划，通过开展“好校长、好教师”引进工程、“校长+骨干”引进管理团队工程、“一市（县）两校一园”优质教育资源引进工程等，面向全国公开招聘等多种形式招聘优秀教师人才共3197人。打造骨干教师队伍“六级塔式结构”培育体系，共对53位特级教师和国家级骨干教师引进人才、74位海南省学科带头人、363位海南省省级骨干教师和教学能手、1358位海口市市级骨干教师及团队中1651位学科徒弟进行了分层次、分阶段的培养，该项工作还入选了2019年度“全国教师队伍建设十大优秀案例”。积极承办“国培”“省培”计划并多形式开展市一级培训活动，每年参训教师34.4万人次，教师综合素质得到进一步提升。持续开展“师德师风建设年”活动，每年度评选度百名最美教师，在直属学校中开展拒绝有偿补课公开承诺活动，教师敬业精神日益增强。</w:t>
      </w:r>
    </w:p>
    <w:p>
      <w:pPr>
        <w:pStyle w:val="31"/>
        <w:spacing w:before="120" w:after="120" w:line="360" w:lineRule="auto"/>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drawing>
          <wp:inline distT="0" distB="0" distL="0" distR="0">
            <wp:extent cx="6230620" cy="212788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230620" cy="2127885"/>
                    </a:xfrm>
                    <a:prstGeom prst="rect">
                      <a:avLst/>
                    </a:prstGeom>
                    <a:noFill/>
                  </pic:spPr>
                </pic:pic>
              </a:graphicData>
            </a:graphic>
          </wp:inline>
        </w:drawing>
      </w:r>
    </w:p>
    <w:p>
      <w:pPr>
        <w:spacing w:before="120" w:after="12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二是教师队伍培训得到加强。</w:t>
      </w:r>
      <w:r>
        <w:rPr>
          <w:rFonts w:hint="eastAsia" w:ascii="仿宋_GB2312" w:hAnsi="仿宋_GB2312" w:eastAsia="仿宋_GB2312" w:cs="仿宋_GB2312"/>
          <w:color w:val="000000" w:themeColor="text1"/>
          <w:sz w:val="32"/>
          <w:szCs w:val="32"/>
          <w14:textFill>
            <w14:solidFill>
              <w14:schemeClr w14:val="tx1"/>
            </w14:solidFill>
          </w14:textFill>
        </w:rPr>
        <w:t>构建了全方位、全学科的培训课程体系，全市各级各类参训教师人数约</w:t>
      </w:r>
      <w:r>
        <w:rPr>
          <w:rFonts w:hint="eastAsia" w:ascii="仿宋_GB2312" w:hAnsi="仿宋_GB2312" w:eastAsia="仿宋_GB2312" w:cs="仿宋_GB2312"/>
          <w:color w:val="000000" w:themeColor="text1"/>
          <w:sz w:val="32"/>
          <w:szCs w:val="32"/>
          <w:lang w:val="en-US"/>
          <w14:textFill>
            <w14:solidFill>
              <w14:schemeClr w14:val="tx1"/>
            </w14:solidFill>
          </w14:textFill>
        </w:rPr>
        <w:t>34.4</w:t>
      </w:r>
      <w:r>
        <w:rPr>
          <w:rFonts w:hint="eastAsia" w:ascii="仿宋_GB2312" w:hAnsi="仿宋_GB2312" w:eastAsia="仿宋_GB2312" w:cs="仿宋_GB2312"/>
          <w:color w:val="000000" w:themeColor="text1"/>
          <w:sz w:val="32"/>
          <w:szCs w:val="32"/>
          <w14:textFill>
            <w14:solidFill>
              <w14:schemeClr w14:val="tx1"/>
            </w14:solidFill>
          </w14:textFill>
        </w:rPr>
        <w:t>万人次。完善海口市青年骨干教师成长助推站项目，发挥名师、骨干的示范引领和辐射带动作用。创新师德师风培训模式，全面实施师德师风三级全员培训活动。组织全市中小学幼儿园市级骨干教师在每年暑期开展集中提高培训以及分段分层培训。</w:t>
      </w:r>
    </w:p>
    <w:p>
      <w:pPr>
        <w:spacing w:before="120" w:after="12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三是大力支持乡村教师队伍建设。</w:t>
      </w:r>
      <w:r>
        <w:rPr>
          <w:rFonts w:hint="eastAsia" w:ascii="仿宋_GB2312" w:hAnsi="仿宋_GB2312" w:eastAsia="仿宋_GB2312" w:cs="仿宋_GB2312"/>
          <w:color w:val="000000" w:themeColor="text1"/>
          <w:sz w:val="32"/>
          <w:szCs w:val="32"/>
          <w14:textFill>
            <w14:solidFill>
              <w14:schemeClr w14:val="tx1"/>
            </w14:solidFill>
          </w14:textFill>
        </w:rPr>
        <w:t>出台《海口市乡村教师支持计划》，提出系统建立乡村教师支持体系，切实改善乡村教师生活和工作条件, 拓宽乡村学校优质师资来源渠道，增强职业吸引力和职业成就感，使优秀师资“下得去、留得住、教得好”，提高乡村教师师德师风水平和教育教学能力，优化我市乡村教师队伍的素质和结构。对从教20年以上的1893名乡村教师及在乡村学校从教30年以上的3193名乡村教师进行认定，并颁发荣誉证书。</w:t>
      </w:r>
    </w:p>
    <w:p>
      <w:pPr>
        <w:spacing w:before="120" w:after="12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四是建立完善统筹管理机制。</w:t>
      </w:r>
      <w:r>
        <w:rPr>
          <w:rFonts w:hint="eastAsia" w:ascii="仿宋_GB2312" w:hAnsi="仿宋_GB2312" w:eastAsia="仿宋_GB2312" w:cs="仿宋_GB2312"/>
          <w:color w:val="000000" w:themeColor="text1"/>
          <w:sz w:val="32"/>
          <w:szCs w:val="32"/>
          <w14:textFill>
            <w14:solidFill>
              <w14:schemeClr w14:val="tx1"/>
            </w14:solidFill>
          </w14:textFill>
        </w:rPr>
        <w:t>在全省率先打造职称评审一站式在线服务平台，实现不见面审核，节约线下审核70%的时间。出台《海口市中小学（幼儿园）教师专业技术岗位内部等级晋升竞聘实施意见（试行）》和《海口市直属公办学校(含幼儿园)自主公开招聘工作实施意见》，进一步深化事业单位人事制度改革。出台教职工编制城乡、区域统筹和动态管理办法，促进教师从富足地区向紧缺地区调剂、从超编学校向缺编学校调剂。还印发《海口市义务教育学校校长教师交流轮岗工作实施方案》,实现市（区）域内义务教育学校校长教师交流轮岗工作制度化、常态化。</w:t>
      </w:r>
    </w:p>
    <w:p>
      <w:pPr>
        <w:pStyle w:val="49"/>
      </w:pPr>
      <w:bookmarkStart w:id="7" w:name="_Toc77102088"/>
      <w:r>
        <w:rPr>
          <w:rFonts w:hint="eastAsia"/>
        </w:rPr>
        <w:t>（四）教育综合改革纵深发展</w:t>
      </w:r>
      <w:bookmarkEnd w:id="7"/>
    </w:p>
    <w:p>
      <w:pPr>
        <w:spacing w:before="120" w:after="12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一是大力推进基础教育课程改革。</w:t>
      </w:r>
      <w:r>
        <w:rPr>
          <w:rFonts w:hint="eastAsia" w:ascii="仿宋_GB2312" w:hAnsi="仿宋_GB2312" w:eastAsia="仿宋_GB2312" w:cs="仿宋_GB2312"/>
          <w:color w:val="000000" w:themeColor="text1"/>
          <w:sz w:val="32"/>
          <w:szCs w:val="32"/>
          <w14:textFill>
            <w14:solidFill>
              <w14:schemeClr w14:val="tx1"/>
            </w14:solidFill>
          </w14:textFill>
        </w:rPr>
        <w:t>建立了全面实施基础教育课程改革的督导评价制度，教学质量监控体系逐步完善。实现了教学视导常态化，通过“周调研日”制度，分别在中学部和小学部组织开展常规教学视导和专项调研，加强对学校教学过程的督查，及时发现并改进问题。通过网络教研丰富研讨内容、拓宽交流范围、提高交流频率，为教师提供丰富的教学资源，促进教师专业发展。通过引领实验项目、开展课题实验研究等，为教学教研注入生机活力。高考综合改革工作顺利、持续推进，海口市被确定为普通高中新课程新教材实施国家级示范区，海南中学、海南华侨中学和海口市第一中学被确定为普通高中新课程新教材实施国家级示范校。</w:t>
      </w:r>
    </w:p>
    <w:p>
      <w:pPr>
        <w:spacing w:before="120" w:after="12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28544" behindDoc="1" locked="0" layoutInCell="1" allowOverlap="1">
            <wp:simplePos x="0" y="0"/>
            <wp:positionH relativeFrom="column">
              <wp:posOffset>4680585</wp:posOffset>
            </wp:positionH>
            <wp:positionV relativeFrom="paragraph">
              <wp:posOffset>4445</wp:posOffset>
            </wp:positionV>
            <wp:extent cx="1788795" cy="2357755"/>
            <wp:effectExtent l="0" t="0" r="0" b="0"/>
            <wp:wrapTight wrapText="bothSides">
              <wp:wrapPolygon>
                <wp:start x="0" y="0"/>
                <wp:lineTo x="0" y="21466"/>
                <wp:lineTo x="21393" y="21466"/>
                <wp:lineTo x="2139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788795" cy="2357755"/>
                    </a:xfrm>
                    <a:prstGeom prst="rect">
                      <a:avLst/>
                    </a:prstGeom>
                  </pic:spPr>
                </pic:pic>
              </a:graphicData>
            </a:graphic>
          </wp:anchor>
        </w:drawing>
      </w:r>
      <w:r>
        <w:rPr>
          <w:rFonts w:hint="eastAsia" w:ascii="仿宋_GB2312" w:hAnsi="仿宋_GB2312" w:eastAsia="仿宋_GB2312" w:cs="仿宋_GB2312"/>
          <w:b/>
          <w:bCs/>
          <w:color w:val="000000" w:themeColor="text1"/>
          <w:sz w:val="32"/>
          <w:szCs w:val="32"/>
          <w14:textFill>
            <w14:solidFill>
              <w14:schemeClr w14:val="tx1"/>
            </w14:solidFill>
          </w14:textFill>
        </w:rPr>
        <w:t>二是继续深化素质教育。</w:t>
      </w:r>
      <w:r>
        <w:rPr>
          <w:rFonts w:hint="eastAsia" w:ascii="仿宋_GB2312" w:hAnsi="仿宋_GB2312" w:eastAsia="仿宋_GB2312" w:cs="仿宋_GB2312"/>
          <w:color w:val="000000" w:themeColor="text1"/>
          <w:sz w:val="32"/>
          <w:szCs w:val="32"/>
          <w14:textFill>
            <w14:solidFill>
              <w14:schemeClr w14:val="tx1"/>
            </w14:solidFill>
          </w14:textFill>
        </w:rPr>
        <w:t>通过开展校园足球运动、游泳培训、帆船帆板比赛、田径比赛、篮球比赛、中小学艺术大赛、禁毒教育等综合实践活动，全面提升学生的思想道德素质、创新精神和实践能力。其中，校园足球蓬勃发展，每年组织开展中小学生校园足球联赛，获评45所全国青少年校园足球特色学校，10所全国青少年足球特色幼儿园；新建中小学游泳池21个，全面铺开普及中小学游泳教育培训，共培训达标合格人数以达到6.8万人次；积极开展垃圾分类、禁塑等生态环保教育，6所学校被湿地国际中国办事处专家授予“湿地学校”称号。</w:t>
      </w:r>
    </w:p>
    <w:p>
      <w:pPr>
        <w:spacing w:before="120" w:after="12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三是探索人才培养模式改革。</w:t>
      </w:r>
      <w:r>
        <w:rPr>
          <w:rFonts w:hint="eastAsia" w:ascii="仿宋_GB2312" w:hAnsi="仿宋_GB2312" w:eastAsia="仿宋_GB2312" w:cs="仿宋_GB2312"/>
          <w:color w:val="000000" w:themeColor="text1"/>
          <w:sz w:val="32"/>
          <w:szCs w:val="32"/>
          <w14:textFill>
            <w14:solidFill>
              <w14:schemeClr w14:val="tx1"/>
            </w14:solidFill>
          </w14:textFill>
        </w:rPr>
        <w:t>在职业教育方面，结合海南自贸港建设的产业需求，积极推行职业教育“三段式”办学模式和“校企一体化”办学模式。</w:t>
      </w:r>
    </w:p>
    <w:p>
      <w:pPr>
        <w:spacing w:before="120" w:after="120" w:line="360" w:lineRule="auto"/>
        <w:ind w:firstLine="567"/>
        <w:jc w:val="both"/>
        <w:rPr>
          <w:rStyle w:val="33"/>
          <w:rFonts w:ascii="仿宋_GB2312" w:hAnsi="仿宋_GB2312" w:eastAsia="仿宋_GB2312" w:cs="仿宋_GB2312"/>
          <w:b w:val="0"/>
          <w:bCs w:val="0"/>
          <w:lang w:val="en-US"/>
        </w:rPr>
      </w:pPr>
      <w:r>
        <w:rPr>
          <w:rFonts w:hint="eastAsia" w:ascii="仿宋_GB2312" w:hAnsi="仿宋_GB2312" w:eastAsia="仿宋_GB2312" w:cs="仿宋_GB2312"/>
          <w:b/>
          <w:bCs/>
          <w:color w:val="000000" w:themeColor="text1"/>
          <w:sz w:val="32"/>
          <w:szCs w:val="32"/>
          <w14:textFill>
            <w14:solidFill>
              <w14:schemeClr w14:val="tx1"/>
            </w14:solidFill>
          </w14:textFill>
        </w:rPr>
        <w:t>四是教育功能不断拓展。</w:t>
      </w:r>
      <w:r>
        <w:rPr>
          <w:rFonts w:hint="eastAsia" w:ascii="仿宋_GB2312" w:hAnsi="仿宋_GB2312" w:eastAsia="仿宋_GB2312" w:cs="仿宋_GB2312"/>
          <w:color w:val="000000" w:themeColor="text1"/>
          <w:sz w:val="32"/>
          <w:szCs w:val="32"/>
          <w14:textFill>
            <w14:solidFill>
              <w14:schemeClr w14:val="tx1"/>
            </w14:solidFill>
          </w14:textFill>
        </w:rPr>
        <w:t>出台《海口市公办中小学课后服务实施意见》，探索开展中小学午餐午休及课后托管服务。全面完成校外培训机构治理，在全国信息平台上发布总数</w:t>
      </w:r>
      <w:r>
        <w:rPr>
          <w:rFonts w:ascii="仿宋_GB2312" w:hAnsi="仿宋_GB2312" w:eastAsia="仿宋_GB2312" w:cs="仿宋_GB2312"/>
          <w:color w:val="000000" w:themeColor="text1"/>
          <w:sz w:val="32"/>
          <w:szCs w:val="32"/>
          <w14:textFill>
            <w14:solidFill>
              <w14:schemeClr w14:val="tx1"/>
            </w14:solidFill>
          </w14:textFill>
        </w:rPr>
        <w:t>278家。</w:t>
      </w:r>
      <w:r>
        <w:rPr>
          <w:rFonts w:hint="eastAsia" w:ascii="仿宋_GB2312" w:hAnsi="仿宋_GB2312" w:eastAsia="仿宋_GB2312" w:cs="仿宋_GB2312"/>
          <w:color w:val="000000" w:themeColor="text1"/>
          <w:sz w:val="32"/>
          <w:szCs w:val="32"/>
          <w14:textFill>
            <w14:solidFill>
              <w14:schemeClr w14:val="tx1"/>
            </w14:solidFill>
          </w14:textFill>
        </w:rPr>
        <w:t>开展终身教育、全民教育，统筹实施社区教育，进一步推动全民终身学习，稳步推进学习型城市建设，不断丰富学习资源与载体。成立我市社区教育工作领导小组，逐步建立社区教育联席工作会议制度，在海口旅游职业学校挂牌成立海口市社区教育指导中心。</w:t>
      </w:r>
    </w:p>
    <w:p>
      <w:pPr>
        <w:pStyle w:val="49"/>
      </w:pPr>
      <w:bookmarkStart w:id="8" w:name="_Toc77102089"/>
      <w:r>
        <w:rPr>
          <w:rFonts w:hint="eastAsia"/>
        </w:rPr>
        <w:t>（五）教育保障能力全面提升</w:t>
      </w:r>
      <w:bookmarkEnd w:id="8"/>
    </w:p>
    <w:p>
      <w:pPr>
        <w:spacing w:before="120" w:after="120" w:line="360" w:lineRule="auto"/>
        <w:ind w:firstLine="567"/>
        <w:jc w:val="both"/>
        <w:rPr>
          <w:rFonts w:ascii="仿宋_GB2312" w:hAnsi="仿宋_GB2312" w:eastAsia="仿宋_GB2312" w:cs="仿宋_GB2312"/>
          <w:color w:val="000000" w:themeColor="text1"/>
          <w:sz w:val="32"/>
          <w:szCs w:val="32"/>
          <w:lang w:val="en-US"/>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一</w:t>
      </w:r>
      <w:r>
        <w:rPr>
          <w:rFonts w:hint="eastAsia" w:ascii="仿宋_GB2312" w:hAnsi="仿宋_GB2312" w:eastAsia="仿宋_GB2312" w:cs="仿宋_GB2312"/>
          <w:b/>
          <w:bCs/>
          <w:color w:val="000000" w:themeColor="text1"/>
          <w:sz w:val="32"/>
          <w:szCs w:val="32"/>
          <w:lang w:val="en-US"/>
          <w14:textFill>
            <w14:solidFill>
              <w14:schemeClr w14:val="tx1"/>
            </w14:solidFill>
          </w14:textFill>
        </w:rPr>
        <w:t>是办学条件得到改善。</w:t>
      </w:r>
      <w:r>
        <w:rPr>
          <w:rFonts w:hint="eastAsia" w:ascii="仿宋_GB2312" w:hAnsi="仿宋_GB2312" w:eastAsia="仿宋_GB2312" w:cs="仿宋_GB2312"/>
          <w:color w:val="000000" w:themeColor="text1"/>
          <w:sz w:val="32"/>
          <w:szCs w:val="32"/>
          <w:lang w:val="en-US"/>
          <w14:textFill>
            <w14:solidFill>
              <w14:schemeClr w14:val="tx1"/>
            </w14:solidFill>
          </w14:textFill>
        </w:rPr>
        <w:t>强化区政府主体责任，对照省义务教育学校标准化建设评估指标体系，在投入3.47亿元完成第一轮全面改薄的基础上，2019-2020年继续投入2.74亿元巩固提升农村学校薄弱环节，“20条底线要求”全部达标，教学教辅用房、图书、教学设备按标准配备，学生生活、学习和寄宿设施满足基本需要，乡村中小学办学条件发生了翻天覆地的变化。同时，在全省范围内率先启动并实现公办学校教室空调全覆盖，进一步改善海口市办学硬条件。</w:t>
      </w:r>
    </w:p>
    <w:p>
      <w:pPr>
        <w:spacing w:before="120" w:after="120" w:line="360" w:lineRule="auto"/>
        <w:ind w:firstLine="567"/>
        <w:jc w:val="both"/>
        <w:rPr>
          <w:rFonts w:ascii="仿宋_GB2312" w:hAnsi="仿宋_GB2312" w:eastAsia="仿宋_GB2312" w:cs="仿宋_GB2312"/>
          <w:color w:val="000000" w:themeColor="text1"/>
          <w:sz w:val="32"/>
          <w:szCs w:val="32"/>
          <w:lang w:val="en-US"/>
          <w14:textFill>
            <w14:solidFill>
              <w14:schemeClr w14:val="tx1"/>
            </w14:solidFill>
          </w14:textFill>
        </w:rPr>
      </w:pPr>
      <w:r>
        <w:rPr>
          <w:rFonts w:hint="eastAsia" w:ascii="仿宋_GB2312" w:hAnsi="仿宋_GB2312" w:eastAsia="仿宋_GB2312" w:cs="仿宋_GB2312"/>
          <w:b/>
          <w:bCs/>
          <w:color w:val="000000" w:themeColor="text1"/>
          <w:sz w:val="32"/>
          <w:szCs w:val="32"/>
          <w:lang w:val="en-US"/>
          <w14:textFill>
            <w14:solidFill>
              <w14:schemeClr w14:val="tx1"/>
            </w14:solidFill>
          </w14:textFill>
        </w:rPr>
        <w:t>二是教育信息化水平得到提升。</w:t>
      </w:r>
      <w:r>
        <w:rPr>
          <w:rFonts w:hint="eastAsia" w:ascii="仿宋_GB2312" w:hAnsi="仿宋_GB2312" w:eastAsia="仿宋_GB2312" w:cs="仿宋_GB2312"/>
          <w:color w:val="000000" w:themeColor="text1"/>
          <w:sz w:val="32"/>
          <w:szCs w:val="32"/>
          <w:lang w:val="en-US"/>
          <w14:textFill>
            <w14:solidFill>
              <w14:schemeClr w14:val="tx1"/>
            </w14:solidFill>
          </w14:textFill>
        </w:rPr>
        <w:t>完成教育信息化一期工程建设，覆盖全市319所中小学校、部分中职学校和幼儿园。成立信息平台管理中心，进一步加强信息化建设与管理。基本完成全市中小学校师生基础教育信息数据库建设，涵盖小学到高中教学资源不少于580万个，搭建城乡优质海量教学资源共享平台，实现网上协同备课、名师在线指导等。</w:t>
      </w:r>
    </w:p>
    <w:p>
      <w:pPr>
        <w:spacing w:before="120" w:after="120" w:line="360" w:lineRule="auto"/>
        <w:ind w:firstLine="567"/>
        <w:jc w:val="both"/>
        <w:rPr>
          <w:rStyle w:val="33"/>
          <w:rFonts w:ascii="仿宋_GB2312" w:hAnsi="仿宋_GB2312" w:eastAsia="仿宋_GB2312" w:cs="仿宋_GB2312"/>
          <w:b w:val="0"/>
          <w:lang w:val="en-US"/>
        </w:rPr>
      </w:pPr>
      <w:r>
        <w:rPr>
          <w:rFonts w:hint="eastAsia" w:ascii="仿宋_GB2312" w:hAnsi="仿宋_GB2312" w:eastAsia="仿宋_GB2312" w:cs="仿宋_GB2312"/>
          <w:b/>
          <w:bCs/>
          <w:color w:val="000000" w:themeColor="text1"/>
          <w:sz w:val="32"/>
          <w:szCs w:val="32"/>
          <w14:textFill>
            <w14:solidFill>
              <w14:schemeClr w14:val="tx1"/>
            </w14:solidFill>
          </w14:textFill>
        </w:rPr>
        <w:t>三是校园安全体系建设逐步完善。</w:t>
      </w:r>
      <w:r>
        <w:rPr>
          <w:rFonts w:hint="eastAsia" w:ascii="仿宋_GB2312" w:hAnsi="仿宋_GB2312" w:eastAsia="仿宋_GB2312" w:cs="仿宋_GB2312"/>
          <w:color w:val="000000" w:themeColor="text1"/>
          <w:sz w:val="32"/>
          <w:szCs w:val="32"/>
          <w14:textFill>
            <w14:solidFill>
              <w14:schemeClr w14:val="tx1"/>
            </w14:solidFill>
          </w14:textFill>
        </w:rPr>
        <w:t>出台《海口市校车安全管理试行办法》，对校车服务提供者从事校车服务工作申请、责任和条件进行了明确，并对保障校车安全的基础设施条件进行了规范。加强学校食堂安全管理，在</w:t>
      </w:r>
      <w:r>
        <w:rPr>
          <w:rFonts w:ascii="仿宋_GB2312" w:hAnsi="仿宋_GB2312" w:eastAsia="仿宋_GB2312" w:cs="仿宋_GB2312"/>
          <w:color w:val="000000" w:themeColor="text1"/>
          <w:sz w:val="32"/>
          <w:szCs w:val="32"/>
          <w14:textFill>
            <w14:solidFill>
              <w14:schemeClr w14:val="tx1"/>
            </w14:solidFill>
          </w14:textFill>
        </w:rPr>
        <w:t>128所市辖区内公办学校食堂</w:t>
      </w:r>
      <w:r>
        <w:rPr>
          <w:rFonts w:hint="eastAsia" w:ascii="仿宋_GB2312" w:hAnsi="仿宋_GB2312" w:eastAsia="仿宋_GB2312" w:cs="仿宋_GB2312"/>
          <w:color w:val="000000" w:themeColor="text1"/>
          <w:sz w:val="32"/>
          <w:szCs w:val="32"/>
          <w14:textFill>
            <w14:solidFill>
              <w14:schemeClr w14:val="tx1"/>
            </w14:solidFill>
          </w14:textFill>
        </w:rPr>
        <w:t>打造食品追溯体系。视频监控“一键报警”联动平台投入使用，助力创建智能化“平安校园”。中小学（幼儿园）安保人员培训及校园防暴演练深入开展。各类安全教育多形式推进，各中小学每年开展国旗下讲话600余场、安全知识讲座近百场、主题班会2000余多场，收看安全教育电视节目15万多人次，开展逃生疏散演练近600个场次。</w:t>
      </w:r>
    </w:p>
    <w:p>
      <w:pPr>
        <w:pStyle w:val="49"/>
      </w:pPr>
      <w:bookmarkStart w:id="9" w:name="_Toc77102090"/>
      <w:r>
        <w:rPr>
          <w:rFonts w:hint="eastAsia"/>
        </w:rPr>
        <w:t>（六）国际教育创新岛建设取得阶段性成果</w:t>
      </w:r>
      <w:bookmarkEnd w:id="9"/>
    </w:p>
    <w:p>
      <w:pPr>
        <w:spacing w:before="120" w:after="12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一是持续引进优质教育资源合作办学。</w:t>
      </w:r>
      <w:r>
        <w:rPr>
          <w:rFonts w:hint="eastAsia" w:ascii="仿宋_GB2312" w:hAnsi="仿宋_GB2312" w:eastAsia="仿宋_GB2312" w:cs="仿宋_GB2312"/>
          <w:color w:val="000000" w:themeColor="text1"/>
          <w:sz w:val="32"/>
          <w:szCs w:val="32"/>
          <w14:textFill>
            <w14:solidFill>
              <w14:schemeClr w14:val="tx1"/>
            </w14:solidFill>
          </w14:textFill>
        </w:rPr>
        <w:t>海口市努力打造新时代中国教育开放发展新标杆，多项唯一试点政策吸引大批教育机构落户。北师大海口附属学校、人大附中海口实验学校、北大附中附小海口学校、哈罗外籍人员子女学校、哈罗国际（中国）礼德学校先后建成投入使用，上海世外附属海口学校开工建设，海口德威（德闳）国际公学正在推进前期工作。</w:t>
      </w:r>
    </w:p>
    <w:p>
      <w:pPr>
        <w:spacing w:before="120" w:after="12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二是国际学校间交流互信日益加深。</w:t>
      </w:r>
      <w:r>
        <w:rPr>
          <w:rFonts w:hint="eastAsia" w:ascii="仿宋_GB2312" w:hAnsi="仿宋_GB2312" w:eastAsia="仿宋_GB2312" w:cs="仿宋_GB2312"/>
          <w:color w:val="000000" w:themeColor="text1"/>
          <w:sz w:val="32"/>
          <w:szCs w:val="32"/>
          <w14:textFill>
            <w14:solidFill>
              <w14:schemeClr w14:val="tx1"/>
            </w14:solidFill>
          </w14:textFill>
        </w:rPr>
        <w:t>海口市通过“一带一路”人才培养计划、搭建国际教育合作平台等，建立与国际友好城市教育交流机制，培养具有跨文化沟通能力及国际视野的高水平国际人才。例如：美国德克萨斯州国际领袖学校与海南华侨中学保持友好、频繁的交流，新加坡德景中学访问海口市五源河学校，五源河学校利用寒假组织学生到新加坡游学，灵山中学足球队代表随省教育厅交流团一行到韩国济州进行交流，香港大角嘴天主教小学师生到海口市第二十五小学开展交流活动，琼山中学教师马运馨作为汉语教师志愿者赴英国就职等。</w:t>
      </w:r>
    </w:p>
    <w:p>
      <w:pPr>
        <w:spacing w:before="120" w:after="12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三是积极促进国际学生留学交流。</w:t>
      </w:r>
      <w:r>
        <w:rPr>
          <w:rFonts w:hint="eastAsia" w:ascii="仿宋_GB2312" w:hAnsi="仿宋_GB2312" w:eastAsia="仿宋_GB2312" w:cs="仿宋_GB2312"/>
          <w:color w:val="000000" w:themeColor="text1"/>
          <w:sz w:val="32"/>
          <w:szCs w:val="32"/>
          <w14:textFill>
            <w14:solidFill>
              <w14:schemeClr w14:val="tx1"/>
            </w14:solidFill>
          </w14:textFill>
        </w:rPr>
        <w:t>为提高学校教育国际化水平，海南华侨中学先后招收了来自美国、法国、德国、俄罗斯、意大利、澳大利亚、等国的国际学生共30余人次，为汉语零基础的学生单独开设中文课，并为北京大学、浙江大学、上海交通大学、厦门大学等著名学府输送了众多优质国际学生资源。同时，海口哈罗外籍人员子女学校的建成，为国际学生留学提供充足的资源和条件。</w:t>
      </w:r>
    </w:p>
    <w:p>
      <w:pPr>
        <w:pStyle w:val="49"/>
      </w:pPr>
      <w:bookmarkStart w:id="10" w:name="_Toc77102091"/>
      <w:r>
        <w:rPr>
          <w:rFonts w:hint="eastAsia"/>
        </w:rPr>
        <w:t>（七）面临的新形势</w:t>
      </w:r>
      <w:bookmarkEnd w:id="10"/>
    </w:p>
    <w:p>
      <w:pPr>
        <w:pStyle w:val="31"/>
        <w:spacing w:before="120" w:after="120" w:line="360" w:lineRule="auto"/>
        <w:ind w:firstLine="567"/>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海口市坚决贯彻党的教育方针，落实“创新、协调、开放、共享”新发展理念，教育投入不断加大，普及水平显著提高，办学水平稳步提升。但也要看到，当前海口市教育发展不平衡、不充分的问题依然存在，教育发展情况与人民群众“上好学”的热切期盼、海南建设自由贸易试验区和中国特色自由贸易港的迫切需要相比，还存在较大差距</w:t>
      </w:r>
      <w:r>
        <w:rPr>
          <w:rFonts w:hint="eastAsia" w:ascii="仿宋_GB2312" w:hAnsi="仿宋_GB2312" w:eastAsia="仿宋_GB2312" w:cs="仿宋_GB2312"/>
          <w:b/>
          <w:bCs/>
          <w:color w:val="000000" w:themeColor="text1"/>
          <w:sz w:val="32"/>
          <w:szCs w:val="32"/>
          <w14:textFill>
            <w14:solidFill>
              <w14:schemeClr w14:val="tx1"/>
            </w14:solidFill>
          </w14:textFill>
        </w:rPr>
        <w:t>。</w:t>
      </w:r>
    </w:p>
    <w:p>
      <w:pPr>
        <w:pStyle w:val="53"/>
        <w:numPr>
          <w:ilvl w:val="0"/>
          <w:numId w:val="4"/>
        </w:numPr>
        <w:ind w:left="567" w:firstLine="0"/>
      </w:pPr>
      <w:r>
        <w:rPr>
          <w:rFonts w:hint="eastAsia"/>
        </w:rPr>
        <w:t>优质资源有待充实。</w:t>
      </w:r>
    </w:p>
    <w:p>
      <w:pPr>
        <w:pStyle w:val="31"/>
        <w:spacing w:before="120" w:after="120" w:line="360" w:lineRule="auto"/>
        <w:ind w:firstLine="567"/>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海南自贸港建设将进一步吸引外来人才，不仅会给教育容量带来新的挑战，还将对教育质量提出更高的要求。目前海口市教育发展主要存在以下现象：一是区域之间、校际教育发展不平衡。城区学校硬件设施、软件配套、师资力量普遍优于乡镇学校，部分学校整体实力优于其他学校，导致城区公办学校尤其是综合实力较强的公办学校学位紧张，且缺口将继续增大。二是优质教育资源供给不充分。人民群众对教育公平的程度倍加关注，对教育质量的要求逐步提高，目前已有的优质教育资源尚无法满足广大人民群众的要求。“十四五”期间需进一步加大教育投入，增加优质教育资源供给，同时科学预测学位需求的时间和空间分布，推动教育资源优质均衡发展。</w:t>
      </w:r>
    </w:p>
    <w:p>
      <w:pPr>
        <w:pStyle w:val="53"/>
        <w:numPr>
          <w:ilvl w:val="0"/>
          <w:numId w:val="4"/>
        </w:numPr>
        <w:ind w:left="567" w:firstLine="0"/>
      </w:pPr>
      <w:r>
        <w:rPr>
          <w:rFonts w:hint="eastAsia"/>
        </w:rPr>
        <w:t>教育结构有待改善。</w:t>
      </w:r>
    </w:p>
    <w:p>
      <w:pPr>
        <w:pStyle w:val="31"/>
        <w:spacing w:before="120" w:after="120" w:line="360" w:lineRule="auto"/>
        <w:ind w:firstLine="567"/>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目前海口市教育体系仍存在薄弱环节。一是公办学前教育资源短缺，二是义务教育优质资源不足，三是普通高中学位供给无法满足社会需求，四是职业教育体系建设不够完善，五是特殊教育学校数量无法满足社会需求，六是非学历培训教育的建立尚处于初始阶段。为了给海南自贸港建设提供更好的基础教育支撑和人才输送， “十四五” 时期需推动各阶段各类型教育平衡发展。</w:t>
      </w:r>
    </w:p>
    <w:p>
      <w:pPr>
        <w:pStyle w:val="53"/>
        <w:numPr>
          <w:ilvl w:val="0"/>
          <w:numId w:val="4"/>
        </w:numPr>
        <w:ind w:left="567" w:firstLine="0"/>
      </w:pPr>
      <w:r>
        <w:rPr>
          <w:rFonts w:hint="eastAsia"/>
        </w:rPr>
        <w:t>教育开放程度有待提高。</w:t>
      </w:r>
    </w:p>
    <w:p>
      <w:pPr>
        <w:pStyle w:val="31"/>
        <w:spacing w:before="120" w:after="120" w:line="360" w:lineRule="auto"/>
        <w:ind w:firstLine="567"/>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为满足海南自贸港建设中引入的技术人才对优质教育和国际特色教育的需求，“十四五” 时期需在进一步引入国内外知名学校到海口合作开办学校、充分运用“一带一路”沿线国家教育战略合作的优势培养高水平国际人才的同时，更加重视对外教育开放的深度。建立畅通的招聘通道引进国内外优秀教师，增强国际特色教育教师队伍实力，巩固国际特色学校办学质量。深入研究国际特色教育理念、办学模式、课程特色、教学创新，使国际特色教育在海南稳步发展。</w:t>
      </w:r>
    </w:p>
    <w:p>
      <w:pPr>
        <w:pStyle w:val="53"/>
        <w:numPr>
          <w:ilvl w:val="0"/>
          <w:numId w:val="4"/>
        </w:numPr>
        <w:ind w:left="567" w:firstLine="0"/>
      </w:pPr>
      <w:r>
        <w:rPr>
          <w:rFonts w:hint="eastAsia"/>
        </w:rPr>
        <w:t>教育信息化有待升级。</w:t>
      </w:r>
    </w:p>
    <w:p>
      <w:pPr>
        <w:pStyle w:val="31"/>
        <w:spacing w:before="120" w:after="120" w:line="360" w:lineRule="auto"/>
        <w:ind w:firstLine="567"/>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“十三五” 时期，海南将教育信息化建设纳入全省信息化发展总体规划，并且成为“全国教育装备综合改革试验区”和“全国教育信息化试点省”，教育信息化取得了显著成效，例如：2020年海口市依托大数据完成国内首创的智慧招生。目前教育行业从业人员的信息化意识较强，但教育信息化普遍存在数据孤岛的现象，对大数据分析的应用能力不足。因此，配合海南省教育厅推广5G网络教育应用试点、建设“互联网+教育”大平台、构建一体化数字教育资源公共服务体系等，将是“十四五”时期需要进一步深化发展的专题。</w:t>
      </w:r>
    </w:p>
    <w:p>
      <w:pPr>
        <w:pStyle w:val="31"/>
        <w:spacing w:before="120" w:after="120" w:line="360" w:lineRule="auto"/>
        <w:ind w:firstLine="567"/>
        <w:rPr>
          <w:rFonts w:ascii="仿宋_GB2312" w:hAnsi="仿宋_GB2312" w:eastAsia="仿宋_GB2312" w:cs="仿宋_GB2312"/>
          <w:color w:val="000000" w:themeColor="text1"/>
          <w:sz w:val="32"/>
          <w:szCs w:val="32"/>
          <w14:textFill>
            <w14:solidFill>
              <w14:schemeClr w14:val="tx1"/>
            </w14:solidFill>
          </w14:textFill>
        </w:rPr>
      </w:pPr>
    </w:p>
    <w:p>
      <w:pPr>
        <w:pStyle w:val="48"/>
      </w:pPr>
      <w:bookmarkStart w:id="11" w:name="_Toc77102092"/>
      <w:r>
        <w:rPr>
          <w:rFonts w:hint="eastAsia"/>
        </w:rPr>
        <w:t>三、指导思想和发展目标</w:t>
      </w:r>
      <w:bookmarkEnd w:id="11"/>
    </w:p>
    <w:p>
      <w:pPr>
        <w:pStyle w:val="49"/>
      </w:pPr>
      <w:bookmarkStart w:id="12" w:name="_Toc77102093"/>
      <w:r>
        <w:rPr>
          <w:rFonts w:hint="eastAsia"/>
        </w:rPr>
        <w:t>（一）指导思想</w:t>
      </w:r>
      <w:bookmarkEnd w:id="12"/>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以习近平新时代中国特色社会主义思想为指导，全面贯彻党的十九大和十九届二中、三中、四中、五中全会精神，全面落实习近平总书记关于教育的重要论述和全国教育大会精神，进一步增强“四个意识”、坚定“四个自信”、做到“两个维护”，坚持和加强党的全面领导，全面贯彻党的教育方针，坚持教育为人民服务，以新发展理念为指导，聚焦建设高质量教育体系，进一步深化改革，努力构筑教育发展战略优势和教育服务高地，加快培养德智体美劳全面发展的时代新人，提高教育社会服务能级和贡献水平，增强人民群众教育获得感和满意度，打造新时代教育全面深化改革开放新标杆，为高质量高标准建设海南自由贸易港提供人才支撑和智力服务，为我国加快建设教育强国、人才强国、社会主义现代化强国做出重要贡献。</w:t>
      </w:r>
    </w:p>
    <w:p>
      <w:pPr>
        <w:pStyle w:val="49"/>
      </w:pPr>
      <w:bookmarkStart w:id="13" w:name="_Toc77102094"/>
      <w:r>
        <w:rPr>
          <w:rFonts w:hint="eastAsia"/>
        </w:rPr>
        <w:t>（二）发展目标</w:t>
      </w:r>
      <w:bookmarkEnd w:id="13"/>
    </w:p>
    <w:p>
      <w:pPr>
        <w:pStyle w:val="53"/>
        <w:numPr>
          <w:ilvl w:val="0"/>
          <w:numId w:val="5"/>
        </w:numPr>
        <w:ind w:left="567" w:firstLine="0"/>
      </w:pPr>
      <w:r>
        <w:rPr>
          <w:rFonts w:hint="eastAsia"/>
        </w:rPr>
        <w:t xml:space="preserve">“十四五” 规划的总体目标：稳步推动国际教育创新岛建设，打造独具海南自贸港特色的教育开放发展新标杆，实现教育高水平均衡。    </w:t>
      </w:r>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十四五”期间，海口教育改革发展目标是：到2025年，教育发展环境达到国内先进水平，教育现代化取得重要进展，五育并举融合育人格局基本形成，公共教育服务水平明显提升，国际教育创新岛基本建成，教育支撑自贸港建设作用更加凸显。</w:t>
      </w:r>
    </w:p>
    <w:p>
      <w:pPr>
        <w:pStyle w:val="53"/>
        <w:numPr>
          <w:ilvl w:val="0"/>
          <w:numId w:val="5"/>
        </w:numPr>
        <w:ind w:left="567" w:firstLine="0"/>
      </w:pPr>
      <w:r>
        <w:rPr>
          <w:rFonts w:hint="eastAsia"/>
        </w:rPr>
        <w:t>主要预期目标</w:t>
      </w:r>
    </w:p>
    <w:p>
      <w:pPr>
        <w:pStyle w:val="5"/>
        <w:keepNext/>
        <w:spacing w:before="120" w:after="120" w:line="360" w:lineRule="auto"/>
        <w:ind w:firstLine="567"/>
        <w:jc w:val="center"/>
        <w:rPr>
          <w:rFonts w:ascii="仿宋_GB2312" w:hAnsi="仿宋_GB2312" w:eastAsia="仿宋_GB2312" w:cs="仿宋_GB2312"/>
          <w:b/>
          <w:i w:val="0"/>
          <w:color w:val="000000" w:themeColor="text1"/>
          <w:sz w:val="32"/>
          <w:szCs w:val="32"/>
          <w14:textFill>
            <w14:solidFill>
              <w14:schemeClr w14:val="tx1"/>
            </w14:solidFill>
          </w14:textFill>
        </w:rPr>
      </w:pPr>
      <w:r>
        <w:rPr>
          <w:rFonts w:hint="eastAsia" w:ascii="仿宋_GB2312" w:hAnsi="仿宋_GB2312" w:eastAsia="仿宋_GB2312" w:cs="仿宋_GB2312"/>
          <w:b/>
          <w:i w:val="0"/>
          <w:color w:val="000000" w:themeColor="text1"/>
          <w:sz w:val="32"/>
          <w:szCs w:val="32"/>
          <w14:textFill>
            <w14:solidFill>
              <w14:schemeClr w14:val="tx1"/>
            </w14:solidFill>
          </w14:textFill>
        </w:rPr>
        <w:t>表  海口市教育局“十四五”规划主要预期目标</w:t>
      </w:r>
    </w:p>
    <w:tbl>
      <w:tblPr>
        <w:tblStyle w:val="42"/>
        <w:tblW w:w="8217" w:type="dxa"/>
        <w:jc w:val="cente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fixed"/>
        <w:tblCellMar>
          <w:top w:w="0" w:type="dxa"/>
          <w:left w:w="108" w:type="dxa"/>
          <w:bottom w:w="0" w:type="dxa"/>
          <w:right w:w="108" w:type="dxa"/>
        </w:tblCellMar>
      </w:tblPr>
      <w:tblGrid>
        <w:gridCol w:w="1277"/>
        <w:gridCol w:w="2971"/>
        <w:gridCol w:w="1984"/>
        <w:gridCol w:w="1985"/>
      </w:tblGrid>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Ex>
        <w:trPr>
          <w:trHeight w:val="955" w:hRule="atLeast"/>
          <w:tblHeader/>
          <w:jc w:val="center"/>
        </w:trPr>
        <w:tc>
          <w:tcPr>
            <w:tcW w:w="1277" w:type="dxa"/>
            <w:tcBorders>
              <w:top w:val="single" w:color="auto" w:sz="4" w:space="0"/>
              <w:left w:val="single" w:color="auto" w:sz="4" w:space="0"/>
              <w:bottom w:val="single" w:color="4472C4" w:themeColor="accent5" w:sz="4" w:space="0"/>
              <w:right w:val="nil"/>
              <w:insideH w:val="single" w:sz="4" w:space="0"/>
              <w:insideV w:val="nil"/>
            </w:tcBorders>
            <w:shd w:val="clear" w:color="auto" w:fill="4472C4" w:themeFill="accent5"/>
            <w:vAlign w:val="center"/>
          </w:tcPr>
          <w:p>
            <w:pPr>
              <w:pStyle w:val="31"/>
              <w:jc w:val="center"/>
              <w:rPr>
                <w:rFonts w:ascii="仿宋" w:hAnsi="仿宋" w:eastAsia="仿宋"/>
                <w:b/>
                <w:bCs/>
                <w:color w:val="FFFFFF" w:themeColor="background1"/>
                <w:sz w:val="28"/>
                <w:szCs w:val="28"/>
                <w14:textFill>
                  <w14:solidFill>
                    <w14:schemeClr w14:val="bg1"/>
                  </w14:solidFill>
                </w14:textFill>
              </w:rPr>
            </w:pPr>
            <w:r>
              <w:rPr>
                <w:rFonts w:hint="eastAsia" w:ascii="仿宋" w:hAnsi="仿宋" w:eastAsia="仿宋"/>
                <w:b/>
                <w:bCs/>
                <w:color w:val="FFFFFF" w:themeColor="background1"/>
                <w:sz w:val="28"/>
                <w:szCs w:val="28"/>
                <w14:textFill>
                  <w14:solidFill>
                    <w14:schemeClr w14:val="bg1"/>
                  </w14:solidFill>
                </w14:textFill>
              </w:rPr>
              <w:t>序号</w:t>
            </w:r>
          </w:p>
        </w:tc>
        <w:tc>
          <w:tcPr>
            <w:tcW w:w="2971" w:type="dxa"/>
            <w:tcBorders>
              <w:top w:val="single" w:color="auto" w:sz="4" w:space="0"/>
              <w:left w:val="single" w:color="auto" w:sz="4" w:space="0"/>
              <w:bottom w:val="single" w:color="4472C4" w:themeColor="accent5" w:sz="4" w:space="0"/>
              <w:right w:val="nil"/>
              <w:insideH w:val="single" w:sz="4" w:space="0"/>
              <w:insideV w:val="nil"/>
            </w:tcBorders>
            <w:shd w:val="clear" w:color="auto" w:fill="4472C4" w:themeFill="accent5"/>
            <w:vAlign w:val="center"/>
          </w:tcPr>
          <w:p>
            <w:pPr>
              <w:pStyle w:val="31"/>
              <w:jc w:val="center"/>
              <w:rPr>
                <w:rFonts w:ascii="仿宋" w:hAnsi="仿宋" w:eastAsia="仿宋"/>
                <w:b/>
                <w:bCs/>
                <w:color w:val="FFFFFF" w:themeColor="background1"/>
                <w:sz w:val="28"/>
                <w:szCs w:val="28"/>
                <w14:textFill>
                  <w14:solidFill>
                    <w14:schemeClr w14:val="bg1"/>
                  </w14:solidFill>
                </w14:textFill>
              </w:rPr>
            </w:pPr>
            <w:r>
              <w:rPr>
                <w:rFonts w:hint="eastAsia" w:ascii="仿宋" w:hAnsi="仿宋" w:eastAsia="仿宋"/>
                <w:b/>
                <w:bCs/>
                <w:color w:val="FFFFFF" w:themeColor="background1"/>
                <w:sz w:val="28"/>
                <w:szCs w:val="28"/>
                <w14:textFill>
                  <w14:solidFill>
                    <w14:schemeClr w14:val="bg1"/>
                  </w14:solidFill>
                </w14:textFill>
              </w:rPr>
              <w:t>指标</w:t>
            </w:r>
          </w:p>
        </w:tc>
        <w:tc>
          <w:tcPr>
            <w:tcW w:w="1984" w:type="dxa"/>
            <w:tcBorders>
              <w:top w:val="single" w:color="auto" w:sz="4" w:space="0"/>
              <w:left w:val="single" w:color="auto" w:sz="4" w:space="0"/>
              <w:bottom w:val="single" w:color="auto" w:sz="4" w:space="0"/>
              <w:right w:val="nil"/>
              <w:insideV w:val="nil"/>
            </w:tcBorders>
            <w:shd w:val="clear" w:color="auto" w:fill="4472C4" w:themeFill="accent5"/>
            <w:vAlign w:val="center"/>
          </w:tcPr>
          <w:p>
            <w:pPr>
              <w:pStyle w:val="31"/>
              <w:jc w:val="center"/>
              <w:rPr>
                <w:rFonts w:ascii="仿宋" w:hAnsi="仿宋" w:eastAsia="仿宋"/>
                <w:b w:val="0"/>
                <w:bCs w:val="0"/>
                <w:color w:val="FFFFFF" w:themeColor="background1"/>
                <w:sz w:val="28"/>
                <w:szCs w:val="28"/>
                <w14:textFill>
                  <w14:solidFill>
                    <w14:schemeClr w14:val="bg1"/>
                  </w14:solidFill>
                </w14:textFill>
              </w:rPr>
            </w:pPr>
            <w:r>
              <w:rPr>
                <w:rFonts w:ascii="仿宋" w:hAnsi="仿宋" w:eastAsia="仿宋"/>
                <w:b/>
                <w:bCs/>
                <w:color w:val="FFFFFF" w:themeColor="background1"/>
                <w:sz w:val="28"/>
                <w:szCs w:val="28"/>
                <w14:textFill>
                  <w14:solidFill>
                    <w14:schemeClr w14:val="bg1"/>
                  </w14:solidFill>
                </w14:textFill>
              </w:rPr>
              <w:t>2020年</w:t>
            </w:r>
          </w:p>
        </w:tc>
        <w:tc>
          <w:tcPr>
            <w:tcW w:w="1985" w:type="dxa"/>
            <w:tcBorders>
              <w:top w:val="single" w:color="auto" w:sz="4" w:space="0"/>
              <w:left w:val="single" w:color="auto" w:sz="4" w:space="0"/>
              <w:bottom w:val="single" w:color="auto" w:sz="4" w:space="0"/>
              <w:right w:val="single" w:color="auto" w:sz="4" w:space="0"/>
              <w:insideV w:val="nil"/>
            </w:tcBorders>
            <w:shd w:val="clear" w:color="auto" w:fill="4472C4" w:themeFill="accent5"/>
            <w:vAlign w:val="center"/>
          </w:tcPr>
          <w:p>
            <w:pPr>
              <w:pStyle w:val="31"/>
              <w:jc w:val="center"/>
              <w:rPr>
                <w:rFonts w:ascii="仿宋" w:hAnsi="仿宋" w:eastAsia="仿宋"/>
                <w:b w:val="0"/>
                <w:bCs w:val="0"/>
                <w:color w:val="FFFFFF" w:themeColor="background1"/>
                <w:sz w:val="28"/>
                <w:szCs w:val="28"/>
                <w14:textFill>
                  <w14:solidFill>
                    <w14:schemeClr w14:val="bg1"/>
                  </w14:solidFill>
                </w14:textFill>
              </w:rPr>
            </w:pPr>
            <w:r>
              <w:rPr>
                <w:rFonts w:ascii="仿宋" w:hAnsi="仿宋" w:eastAsia="仿宋"/>
                <w:b/>
                <w:bCs/>
                <w:color w:val="FFFFFF" w:themeColor="background1"/>
                <w:sz w:val="28"/>
                <w:szCs w:val="28"/>
                <w14:textFill>
                  <w14:solidFill>
                    <w14:schemeClr w14:val="bg1"/>
                  </w14:solidFill>
                </w14:textFill>
              </w:rPr>
              <w:t>2025年</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Ex>
        <w:trPr>
          <w:trHeight w:val="694" w:hRule="atLeast"/>
          <w:jc w:val="center"/>
        </w:trPr>
        <w:tc>
          <w:tcPr>
            <w:tcW w:w="1277" w:type="dxa"/>
            <w:tcBorders>
              <w:top w:val="single" w:color="auto" w:sz="4" w:space="0"/>
            </w:tcBorders>
            <w:shd w:val="clear" w:color="auto" w:fill="D9E2F3" w:themeFill="accent5" w:themeFillTint="33"/>
            <w:vAlign w:val="center"/>
          </w:tcPr>
          <w:p>
            <w:pPr>
              <w:pStyle w:val="31"/>
              <w:jc w:val="center"/>
              <w:rPr>
                <w:rFonts w:ascii="仿宋" w:hAnsi="仿宋" w:eastAsia="仿宋"/>
                <w:b/>
                <w:bCs/>
                <w:sz w:val="28"/>
                <w:szCs w:val="28"/>
              </w:rPr>
            </w:pPr>
            <w:r>
              <w:rPr>
                <w:rFonts w:hint="eastAsia" w:ascii="仿宋" w:hAnsi="仿宋" w:eastAsia="仿宋" w:cs="仿宋_GB2312"/>
                <w:b w:val="0"/>
                <w:bCs w:val="0"/>
                <w:sz w:val="28"/>
                <w:szCs w:val="28"/>
              </w:rPr>
              <w:t>1</w:t>
            </w:r>
          </w:p>
        </w:tc>
        <w:tc>
          <w:tcPr>
            <w:tcW w:w="2971" w:type="dxa"/>
            <w:tcBorders>
              <w:top w:val="single" w:color="auto" w:sz="4" w:space="0"/>
            </w:tcBorders>
            <w:shd w:val="clear" w:color="auto" w:fill="D9E2F3" w:themeFill="accent5" w:themeFillTint="33"/>
            <w:vAlign w:val="center"/>
          </w:tcPr>
          <w:p>
            <w:pPr>
              <w:pStyle w:val="31"/>
              <w:jc w:val="center"/>
              <w:rPr>
                <w:rFonts w:ascii="仿宋" w:hAnsi="仿宋" w:eastAsia="仿宋"/>
                <w:sz w:val="28"/>
                <w:szCs w:val="28"/>
              </w:rPr>
            </w:pPr>
            <w:r>
              <w:rPr>
                <w:rFonts w:hint="eastAsia" w:ascii="仿宋" w:hAnsi="仿宋" w:eastAsia="仿宋"/>
                <w:sz w:val="28"/>
                <w:szCs w:val="28"/>
              </w:rPr>
              <w:t>学前教育毛入园率</w:t>
            </w:r>
          </w:p>
        </w:tc>
        <w:tc>
          <w:tcPr>
            <w:tcW w:w="1984" w:type="dxa"/>
            <w:tcBorders>
              <w:top w:val="single" w:color="auto" w:sz="4" w:space="0"/>
            </w:tcBorders>
            <w:shd w:val="clear" w:color="auto" w:fill="D9E2F3" w:themeFill="accent5" w:themeFillTint="33"/>
            <w:vAlign w:val="center"/>
          </w:tcPr>
          <w:p>
            <w:pPr>
              <w:pStyle w:val="31"/>
              <w:jc w:val="center"/>
              <w:rPr>
                <w:rFonts w:ascii="仿宋" w:hAnsi="仿宋" w:eastAsia="仿宋"/>
                <w:sz w:val="28"/>
                <w:szCs w:val="28"/>
              </w:rPr>
            </w:pPr>
            <w:r>
              <w:rPr>
                <w:rFonts w:ascii="仿宋" w:hAnsi="仿宋" w:eastAsia="仿宋"/>
                <w:sz w:val="28"/>
                <w:szCs w:val="28"/>
              </w:rPr>
              <w:t>90</w:t>
            </w:r>
            <w:r>
              <w:rPr>
                <w:rFonts w:hint="eastAsia" w:ascii="仿宋" w:hAnsi="仿宋" w:eastAsia="仿宋"/>
                <w:sz w:val="28"/>
                <w:szCs w:val="28"/>
              </w:rPr>
              <w:t>%</w:t>
            </w:r>
          </w:p>
        </w:tc>
        <w:tc>
          <w:tcPr>
            <w:tcW w:w="1985" w:type="dxa"/>
            <w:tcBorders>
              <w:top w:val="single" w:color="auto" w:sz="4" w:space="0"/>
            </w:tcBorders>
            <w:shd w:val="clear" w:color="auto" w:fill="D9E2F3" w:themeFill="accent5" w:themeFillTint="33"/>
            <w:vAlign w:val="center"/>
          </w:tcPr>
          <w:p>
            <w:pPr>
              <w:pStyle w:val="31"/>
              <w:jc w:val="center"/>
              <w:rPr>
                <w:rFonts w:ascii="仿宋" w:hAnsi="仿宋" w:eastAsia="仿宋"/>
                <w:sz w:val="28"/>
                <w:szCs w:val="28"/>
              </w:rPr>
            </w:pPr>
            <w:r>
              <w:rPr>
                <w:rFonts w:ascii="仿宋" w:hAnsi="仿宋" w:eastAsia="仿宋"/>
                <w:sz w:val="28"/>
                <w:szCs w:val="28"/>
              </w:rPr>
              <w:t>93</w:t>
            </w:r>
            <w:r>
              <w:rPr>
                <w:rFonts w:hint="eastAsia" w:ascii="仿宋" w:hAnsi="仿宋" w:eastAsia="仿宋"/>
                <w:sz w:val="28"/>
                <w:szCs w:val="28"/>
              </w:rPr>
              <w:t>%</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Ex>
        <w:trPr>
          <w:trHeight w:val="694" w:hRule="atLeast"/>
          <w:jc w:val="center"/>
        </w:trPr>
        <w:tc>
          <w:tcPr>
            <w:tcW w:w="1277" w:type="dxa"/>
            <w:vAlign w:val="center"/>
          </w:tcPr>
          <w:p>
            <w:pPr>
              <w:pStyle w:val="31"/>
              <w:jc w:val="center"/>
              <w:rPr>
                <w:rFonts w:ascii="仿宋" w:hAnsi="仿宋" w:eastAsia="仿宋"/>
                <w:b/>
                <w:bCs/>
                <w:sz w:val="28"/>
                <w:szCs w:val="28"/>
              </w:rPr>
            </w:pPr>
            <w:r>
              <w:rPr>
                <w:rFonts w:hint="eastAsia" w:ascii="仿宋" w:hAnsi="仿宋" w:eastAsia="仿宋" w:cs="仿宋_GB2312"/>
                <w:b w:val="0"/>
                <w:bCs w:val="0"/>
                <w:sz w:val="28"/>
                <w:szCs w:val="28"/>
              </w:rPr>
              <w:t>2</w:t>
            </w:r>
          </w:p>
        </w:tc>
        <w:tc>
          <w:tcPr>
            <w:tcW w:w="2971" w:type="dxa"/>
            <w:vAlign w:val="center"/>
          </w:tcPr>
          <w:p>
            <w:pPr>
              <w:pStyle w:val="31"/>
              <w:jc w:val="center"/>
              <w:rPr>
                <w:rFonts w:ascii="仿宋" w:hAnsi="仿宋" w:eastAsia="仿宋"/>
                <w:sz w:val="28"/>
                <w:szCs w:val="28"/>
              </w:rPr>
            </w:pPr>
            <w:r>
              <w:rPr>
                <w:rFonts w:hint="eastAsia" w:ascii="仿宋" w:hAnsi="仿宋" w:eastAsia="仿宋"/>
                <w:sz w:val="28"/>
                <w:szCs w:val="28"/>
              </w:rPr>
              <w:t>学前教育教师接受专业教育的比例</w:t>
            </w:r>
          </w:p>
        </w:tc>
        <w:tc>
          <w:tcPr>
            <w:tcW w:w="1984" w:type="dxa"/>
            <w:vAlign w:val="center"/>
          </w:tcPr>
          <w:p>
            <w:pPr>
              <w:pStyle w:val="31"/>
              <w:jc w:val="center"/>
              <w:rPr>
                <w:rFonts w:ascii="仿宋" w:hAnsi="仿宋" w:eastAsia="仿宋"/>
                <w:sz w:val="28"/>
                <w:szCs w:val="28"/>
              </w:rPr>
            </w:pPr>
            <w:r>
              <w:rPr>
                <w:rFonts w:hint="eastAsia" w:ascii="仿宋" w:hAnsi="仿宋" w:eastAsia="仿宋"/>
                <w:sz w:val="28"/>
                <w:szCs w:val="28"/>
              </w:rPr>
              <w:t>75%</w:t>
            </w:r>
          </w:p>
        </w:tc>
        <w:tc>
          <w:tcPr>
            <w:tcW w:w="1985" w:type="dxa"/>
            <w:vAlign w:val="center"/>
          </w:tcPr>
          <w:p>
            <w:pPr>
              <w:pStyle w:val="31"/>
              <w:jc w:val="center"/>
              <w:rPr>
                <w:rFonts w:ascii="仿宋" w:hAnsi="仿宋" w:eastAsia="仿宋"/>
                <w:sz w:val="28"/>
                <w:szCs w:val="28"/>
              </w:rPr>
            </w:pPr>
            <w:r>
              <w:rPr>
                <w:rFonts w:hint="eastAsia" w:ascii="仿宋" w:hAnsi="仿宋" w:eastAsia="仿宋"/>
                <w:sz w:val="28"/>
                <w:szCs w:val="28"/>
              </w:rPr>
              <w:t>80%</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Ex>
        <w:trPr>
          <w:trHeight w:val="694" w:hRule="atLeast"/>
          <w:jc w:val="center"/>
        </w:trPr>
        <w:tc>
          <w:tcPr>
            <w:tcW w:w="1277" w:type="dxa"/>
            <w:shd w:val="clear" w:color="auto" w:fill="D9E2F3" w:themeFill="accent5" w:themeFillTint="33"/>
            <w:vAlign w:val="center"/>
          </w:tcPr>
          <w:p>
            <w:pPr>
              <w:pStyle w:val="31"/>
              <w:jc w:val="center"/>
              <w:rPr>
                <w:rFonts w:ascii="仿宋" w:hAnsi="仿宋" w:eastAsia="仿宋" w:cs="仿宋_GB2312"/>
                <w:b/>
                <w:bCs/>
                <w:sz w:val="28"/>
                <w:szCs w:val="28"/>
              </w:rPr>
            </w:pPr>
            <w:r>
              <w:rPr>
                <w:rFonts w:ascii="仿宋" w:hAnsi="仿宋" w:eastAsia="仿宋" w:cs="仿宋_GB2312"/>
                <w:b/>
                <w:bCs/>
                <w:sz w:val="28"/>
                <w:szCs w:val="28"/>
              </w:rPr>
              <w:t>3</w:t>
            </w:r>
          </w:p>
        </w:tc>
        <w:tc>
          <w:tcPr>
            <w:tcW w:w="2971" w:type="dxa"/>
            <w:shd w:val="clear" w:color="auto" w:fill="D9E2F3" w:themeFill="accent5" w:themeFillTint="33"/>
            <w:vAlign w:val="center"/>
          </w:tcPr>
          <w:p>
            <w:pPr>
              <w:pStyle w:val="31"/>
              <w:jc w:val="center"/>
              <w:rPr>
                <w:rFonts w:ascii="仿宋" w:hAnsi="仿宋" w:eastAsia="仿宋"/>
                <w:sz w:val="28"/>
                <w:szCs w:val="28"/>
              </w:rPr>
            </w:pPr>
            <w:r>
              <w:rPr>
                <w:rFonts w:hint="eastAsia" w:ascii="仿宋" w:hAnsi="仿宋" w:eastAsia="仿宋"/>
                <w:sz w:val="28"/>
                <w:szCs w:val="28"/>
              </w:rPr>
              <w:t>公办幼儿园覆盖率</w:t>
            </w:r>
          </w:p>
        </w:tc>
        <w:tc>
          <w:tcPr>
            <w:tcW w:w="1984" w:type="dxa"/>
            <w:shd w:val="clear" w:color="auto" w:fill="D9E2F3" w:themeFill="accent5" w:themeFillTint="33"/>
            <w:vAlign w:val="center"/>
          </w:tcPr>
          <w:p>
            <w:pPr>
              <w:pStyle w:val="31"/>
              <w:jc w:val="center"/>
              <w:rPr>
                <w:rFonts w:ascii="仿宋" w:hAnsi="仿宋" w:eastAsia="仿宋"/>
                <w:sz w:val="28"/>
                <w:szCs w:val="28"/>
              </w:rPr>
            </w:pPr>
            <w:r>
              <w:rPr>
                <w:rFonts w:ascii="仿宋" w:hAnsi="仿宋" w:eastAsia="仿宋"/>
                <w:sz w:val="28"/>
                <w:szCs w:val="28"/>
              </w:rPr>
              <w:t>50%</w:t>
            </w:r>
          </w:p>
        </w:tc>
        <w:tc>
          <w:tcPr>
            <w:tcW w:w="1985" w:type="dxa"/>
            <w:shd w:val="clear" w:color="auto" w:fill="D9E2F3" w:themeFill="accent5" w:themeFillTint="33"/>
            <w:vAlign w:val="center"/>
          </w:tcPr>
          <w:p>
            <w:pPr>
              <w:pStyle w:val="31"/>
              <w:jc w:val="center"/>
              <w:rPr>
                <w:rFonts w:ascii="仿宋" w:hAnsi="仿宋" w:eastAsia="仿宋"/>
                <w:sz w:val="28"/>
                <w:szCs w:val="28"/>
              </w:rPr>
            </w:pPr>
            <w:r>
              <w:rPr>
                <w:rFonts w:ascii="仿宋" w:hAnsi="仿宋" w:eastAsia="仿宋"/>
                <w:sz w:val="28"/>
                <w:szCs w:val="28"/>
              </w:rPr>
              <w:t>55%</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Ex>
        <w:trPr>
          <w:trHeight w:val="694" w:hRule="atLeast"/>
          <w:jc w:val="center"/>
        </w:trPr>
        <w:tc>
          <w:tcPr>
            <w:tcW w:w="1277" w:type="dxa"/>
            <w:vAlign w:val="center"/>
          </w:tcPr>
          <w:p>
            <w:pPr>
              <w:pStyle w:val="31"/>
              <w:jc w:val="center"/>
              <w:rPr>
                <w:rFonts w:ascii="仿宋" w:hAnsi="仿宋" w:eastAsia="仿宋" w:cs="仿宋_GB2312"/>
                <w:b/>
                <w:bCs/>
                <w:sz w:val="28"/>
                <w:szCs w:val="28"/>
              </w:rPr>
            </w:pPr>
            <w:r>
              <w:rPr>
                <w:rFonts w:ascii="仿宋" w:hAnsi="仿宋" w:eastAsia="仿宋" w:cs="仿宋_GB2312"/>
                <w:b/>
                <w:bCs/>
                <w:sz w:val="28"/>
                <w:szCs w:val="28"/>
              </w:rPr>
              <w:t>4</w:t>
            </w:r>
          </w:p>
        </w:tc>
        <w:tc>
          <w:tcPr>
            <w:tcW w:w="2971" w:type="dxa"/>
            <w:vAlign w:val="center"/>
          </w:tcPr>
          <w:p>
            <w:pPr>
              <w:pStyle w:val="31"/>
              <w:jc w:val="center"/>
              <w:rPr>
                <w:rFonts w:ascii="仿宋" w:hAnsi="仿宋" w:eastAsia="仿宋"/>
                <w:sz w:val="28"/>
                <w:szCs w:val="28"/>
              </w:rPr>
            </w:pPr>
            <w:r>
              <w:rPr>
                <w:rFonts w:hint="eastAsia" w:ascii="仿宋" w:hAnsi="仿宋" w:eastAsia="仿宋"/>
                <w:sz w:val="28"/>
                <w:szCs w:val="28"/>
              </w:rPr>
              <w:t>普惠性幼儿园覆盖率</w:t>
            </w:r>
          </w:p>
        </w:tc>
        <w:tc>
          <w:tcPr>
            <w:tcW w:w="1984" w:type="dxa"/>
            <w:vAlign w:val="center"/>
          </w:tcPr>
          <w:p>
            <w:pPr>
              <w:pStyle w:val="31"/>
              <w:jc w:val="center"/>
              <w:rPr>
                <w:rFonts w:ascii="仿宋" w:hAnsi="仿宋" w:eastAsia="仿宋"/>
                <w:sz w:val="28"/>
                <w:szCs w:val="28"/>
              </w:rPr>
            </w:pPr>
            <w:r>
              <w:rPr>
                <w:rFonts w:ascii="仿宋" w:hAnsi="仿宋" w:eastAsia="仿宋"/>
                <w:sz w:val="28"/>
                <w:szCs w:val="28"/>
              </w:rPr>
              <w:t>80%</w:t>
            </w:r>
          </w:p>
        </w:tc>
        <w:tc>
          <w:tcPr>
            <w:tcW w:w="1985" w:type="dxa"/>
            <w:vAlign w:val="center"/>
          </w:tcPr>
          <w:p>
            <w:pPr>
              <w:pStyle w:val="31"/>
              <w:jc w:val="center"/>
              <w:rPr>
                <w:rFonts w:ascii="仿宋" w:hAnsi="仿宋" w:eastAsia="仿宋"/>
                <w:sz w:val="28"/>
                <w:szCs w:val="28"/>
              </w:rPr>
            </w:pPr>
            <w:r>
              <w:rPr>
                <w:rFonts w:ascii="仿宋" w:hAnsi="仿宋" w:eastAsia="仿宋"/>
                <w:sz w:val="28"/>
                <w:szCs w:val="28"/>
              </w:rPr>
              <w:t>85%</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Ex>
        <w:trPr>
          <w:trHeight w:val="736" w:hRule="atLeast"/>
          <w:jc w:val="center"/>
        </w:trPr>
        <w:tc>
          <w:tcPr>
            <w:tcW w:w="1277" w:type="dxa"/>
            <w:shd w:val="clear" w:color="auto" w:fill="D9E2F3" w:themeFill="accent5" w:themeFillTint="33"/>
            <w:vAlign w:val="center"/>
          </w:tcPr>
          <w:p>
            <w:pPr>
              <w:pStyle w:val="31"/>
              <w:jc w:val="center"/>
              <w:rPr>
                <w:rFonts w:ascii="仿宋" w:hAnsi="仿宋" w:eastAsia="仿宋"/>
                <w:b/>
                <w:bCs/>
                <w:sz w:val="28"/>
                <w:szCs w:val="28"/>
              </w:rPr>
            </w:pPr>
            <w:r>
              <w:rPr>
                <w:rFonts w:ascii="仿宋" w:hAnsi="仿宋" w:eastAsia="仿宋" w:cs="仿宋_GB2312"/>
                <w:b w:val="0"/>
                <w:bCs w:val="0"/>
                <w:sz w:val="28"/>
                <w:szCs w:val="28"/>
              </w:rPr>
              <w:t>5</w:t>
            </w:r>
          </w:p>
        </w:tc>
        <w:tc>
          <w:tcPr>
            <w:tcW w:w="2971" w:type="dxa"/>
            <w:shd w:val="clear" w:color="auto" w:fill="D9E2F3" w:themeFill="accent5" w:themeFillTint="33"/>
            <w:vAlign w:val="center"/>
          </w:tcPr>
          <w:p>
            <w:pPr>
              <w:pStyle w:val="31"/>
              <w:jc w:val="center"/>
              <w:rPr>
                <w:rFonts w:ascii="仿宋" w:hAnsi="仿宋" w:eastAsia="仿宋"/>
                <w:sz w:val="28"/>
                <w:szCs w:val="28"/>
              </w:rPr>
            </w:pPr>
            <w:r>
              <w:rPr>
                <w:rFonts w:hint="eastAsia" w:ascii="仿宋" w:hAnsi="仿宋" w:eastAsia="仿宋"/>
                <w:sz w:val="28"/>
                <w:szCs w:val="28"/>
              </w:rPr>
              <w:t>九年义务教育巩固率</w:t>
            </w:r>
          </w:p>
        </w:tc>
        <w:tc>
          <w:tcPr>
            <w:tcW w:w="1984" w:type="dxa"/>
            <w:shd w:val="clear" w:color="auto" w:fill="D9E2F3" w:themeFill="accent5" w:themeFillTint="33"/>
            <w:vAlign w:val="center"/>
          </w:tcPr>
          <w:p>
            <w:pPr>
              <w:pStyle w:val="31"/>
              <w:jc w:val="center"/>
              <w:rPr>
                <w:rFonts w:ascii="仿宋" w:hAnsi="仿宋" w:eastAsia="仿宋"/>
                <w:sz w:val="28"/>
                <w:szCs w:val="28"/>
              </w:rPr>
            </w:pPr>
            <w:r>
              <w:rPr>
                <w:rFonts w:ascii="仿宋" w:hAnsi="仿宋" w:eastAsia="仿宋"/>
                <w:sz w:val="28"/>
                <w:szCs w:val="28"/>
              </w:rPr>
              <w:t>99</w:t>
            </w:r>
            <w:r>
              <w:rPr>
                <w:rFonts w:hint="eastAsia" w:ascii="仿宋" w:hAnsi="仿宋" w:eastAsia="仿宋"/>
                <w:sz w:val="28"/>
                <w:szCs w:val="28"/>
              </w:rPr>
              <w:t>.8%</w:t>
            </w:r>
          </w:p>
        </w:tc>
        <w:tc>
          <w:tcPr>
            <w:tcW w:w="1985" w:type="dxa"/>
            <w:shd w:val="clear" w:color="auto" w:fill="D9E2F3" w:themeFill="accent5" w:themeFillTint="33"/>
            <w:vAlign w:val="center"/>
          </w:tcPr>
          <w:p>
            <w:pPr>
              <w:pStyle w:val="31"/>
              <w:jc w:val="center"/>
              <w:rPr>
                <w:rFonts w:ascii="仿宋" w:hAnsi="仿宋" w:eastAsia="仿宋"/>
                <w:sz w:val="28"/>
                <w:szCs w:val="28"/>
              </w:rPr>
            </w:pPr>
            <w:r>
              <w:rPr>
                <w:rFonts w:ascii="仿宋" w:hAnsi="仿宋" w:eastAsia="仿宋"/>
                <w:sz w:val="28"/>
                <w:szCs w:val="28"/>
              </w:rPr>
              <w:t>100</w:t>
            </w:r>
            <w:r>
              <w:rPr>
                <w:rFonts w:hint="eastAsia" w:ascii="仿宋" w:hAnsi="仿宋" w:eastAsia="仿宋"/>
                <w:sz w:val="28"/>
                <w:szCs w:val="28"/>
              </w:rPr>
              <w:t>%</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Ex>
        <w:trPr>
          <w:trHeight w:val="694" w:hRule="atLeast"/>
          <w:jc w:val="center"/>
        </w:trPr>
        <w:tc>
          <w:tcPr>
            <w:tcW w:w="1277" w:type="dxa"/>
            <w:vAlign w:val="center"/>
          </w:tcPr>
          <w:p>
            <w:pPr>
              <w:pStyle w:val="31"/>
              <w:jc w:val="center"/>
              <w:rPr>
                <w:rFonts w:ascii="仿宋" w:hAnsi="仿宋" w:eastAsia="仿宋"/>
                <w:b/>
                <w:bCs/>
                <w:sz w:val="28"/>
                <w:szCs w:val="28"/>
              </w:rPr>
            </w:pPr>
            <w:r>
              <w:rPr>
                <w:rFonts w:ascii="仿宋" w:hAnsi="仿宋" w:eastAsia="仿宋" w:cs="仿宋_GB2312"/>
                <w:b w:val="0"/>
                <w:bCs w:val="0"/>
                <w:sz w:val="28"/>
                <w:szCs w:val="28"/>
              </w:rPr>
              <w:t>6</w:t>
            </w:r>
          </w:p>
        </w:tc>
        <w:tc>
          <w:tcPr>
            <w:tcW w:w="2971" w:type="dxa"/>
            <w:vAlign w:val="center"/>
          </w:tcPr>
          <w:p>
            <w:pPr>
              <w:pStyle w:val="31"/>
              <w:jc w:val="center"/>
              <w:rPr>
                <w:rFonts w:ascii="仿宋" w:hAnsi="仿宋" w:eastAsia="仿宋"/>
                <w:sz w:val="28"/>
                <w:szCs w:val="28"/>
              </w:rPr>
            </w:pPr>
            <w:r>
              <w:rPr>
                <w:rFonts w:hint="eastAsia" w:ascii="仿宋" w:hAnsi="仿宋" w:eastAsia="仿宋"/>
                <w:sz w:val="28"/>
                <w:szCs w:val="28"/>
              </w:rPr>
              <w:t>残疾儿童义务教育阶段入学率</w:t>
            </w:r>
          </w:p>
        </w:tc>
        <w:tc>
          <w:tcPr>
            <w:tcW w:w="1984" w:type="dxa"/>
            <w:vAlign w:val="center"/>
          </w:tcPr>
          <w:p>
            <w:pPr>
              <w:pStyle w:val="31"/>
              <w:jc w:val="center"/>
              <w:rPr>
                <w:rFonts w:ascii="仿宋" w:hAnsi="仿宋" w:eastAsia="仿宋"/>
                <w:sz w:val="28"/>
                <w:szCs w:val="28"/>
              </w:rPr>
            </w:pPr>
            <w:r>
              <w:rPr>
                <w:rFonts w:ascii="仿宋" w:hAnsi="仿宋" w:eastAsia="仿宋"/>
                <w:sz w:val="28"/>
                <w:szCs w:val="28"/>
              </w:rPr>
              <w:t>97</w:t>
            </w:r>
            <w:r>
              <w:rPr>
                <w:rFonts w:hint="eastAsia" w:ascii="仿宋" w:hAnsi="仿宋" w:eastAsia="仿宋"/>
                <w:sz w:val="28"/>
                <w:szCs w:val="28"/>
              </w:rPr>
              <w:t>%</w:t>
            </w:r>
          </w:p>
        </w:tc>
        <w:tc>
          <w:tcPr>
            <w:tcW w:w="1985" w:type="dxa"/>
            <w:vAlign w:val="center"/>
          </w:tcPr>
          <w:p>
            <w:pPr>
              <w:pStyle w:val="31"/>
              <w:jc w:val="center"/>
              <w:rPr>
                <w:rFonts w:ascii="仿宋" w:hAnsi="仿宋" w:eastAsia="仿宋"/>
                <w:sz w:val="28"/>
                <w:szCs w:val="28"/>
              </w:rPr>
            </w:pPr>
            <w:r>
              <w:rPr>
                <w:rFonts w:hint="eastAsia" w:ascii="仿宋" w:hAnsi="仿宋" w:eastAsia="仿宋"/>
                <w:sz w:val="28"/>
                <w:szCs w:val="28"/>
              </w:rPr>
              <w:t>9</w:t>
            </w:r>
            <w:r>
              <w:rPr>
                <w:rFonts w:ascii="仿宋" w:hAnsi="仿宋" w:eastAsia="仿宋"/>
                <w:sz w:val="28"/>
                <w:szCs w:val="28"/>
              </w:rPr>
              <w:t>9</w:t>
            </w:r>
            <w:r>
              <w:rPr>
                <w:rFonts w:hint="eastAsia" w:ascii="仿宋" w:hAnsi="仿宋" w:eastAsia="仿宋"/>
                <w:sz w:val="28"/>
                <w:szCs w:val="28"/>
              </w:rPr>
              <w:t>%</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Ex>
        <w:trPr>
          <w:trHeight w:val="694" w:hRule="atLeast"/>
          <w:jc w:val="center"/>
        </w:trPr>
        <w:tc>
          <w:tcPr>
            <w:tcW w:w="1277" w:type="dxa"/>
            <w:shd w:val="clear" w:color="auto" w:fill="D9E2F3" w:themeFill="accent5" w:themeFillTint="33"/>
            <w:vAlign w:val="center"/>
          </w:tcPr>
          <w:p>
            <w:pPr>
              <w:pStyle w:val="31"/>
              <w:jc w:val="center"/>
              <w:rPr>
                <w:rFonts w:ascii="仿宋" w:hAnsi="仿宋" w:eastAsia="仿宋" w:cs="仿宋_GB2312"/>
                <w:b w:val="0"/>
                <w:bCs w:val="0"/>
                <w:sz w:val="28"/>
                <w:szCs w:val="28"/>
              </w:rPr>
            </w:pPr>
            <w:r>
              <w:rPr>
                <w:rFonts w:ascii="仿宋" w:hAnsi="仿宋" w:eastAsia="仿宋" w:cs="仿宋_GB2312"/>
                <w:b w:val="0"/>
                <w:bCs w:val="0"/>
                <w:sz w:val="28"/>
                <w:szCs w:val="28"/>
              </w:rPr>
              <w:t>7</w:t>
            </w:r>
          </w:p>
        </w:tc>
        <w:tc>
          <w:tcPr>
            <w:tcW w:w="2971" w:type="dxa"/>
            <w:shd w:val="clear" w:color="auto" w:fill="D9E2F3" w:themeFill="accent5" w:themeFillTint="33"/>
            <w:vAlign w:val="center"/>
          </w:tcPr>
          <w:p>
            <w:pPr>
              <w:pStyle w:val="31"/>
              <w:jc w:val="center"/>
              <w:rPr>
                <w:rFonts w:ascii="仿宋" w:hAnsi="仿宋" w:eastAsia="仿宋" w:cs="仿宋_GB2312"/>
                <w:sz w:val="28"/>
                <w:szCs w:val="28"/>
              </w:rPr>
            </w:pPr>
            <w:r>
              <w:rPr>
                <w:rFonts w:hint="eastAsia" w:ascii="仿宋" w:hAnsi="仿宋" w:eastAsia="仿宋"/>
                <w:sz w:val="28"/>
                <w:szCs w:val="28"/>
              </w:rPr>
              <w:t>义务教育专任教师中本科以上学历比例</w:t>
            </w:r>
          </w:p>
        </w:tc>
        <w:tc>
          <w:tcPr>
            <w:tcW w:w="1984" w:type="dxa"/>
            <w:shd w:val="clear" w:color="auto" w:fill="D9E2F3" w:themeFill="accent5" w:themeFillTint="33"/>
            <w:vAlign w:val="center"/>
          </w:tcPr>
          <w:p>
            <w:pPr>
              <w:pStyle w:val="31"/>
              <w:jc w:val="center"/>
              <w:rPr>
                <w:rFonts w:ascii="仿宋" w:hAnsi="仿宋" w:eastAsia="仿宋"/>
                <w:sz w:val="28"/>
                <w:szCs w:val="28"/>
              </w:rPr>
            </w:pPr>
            <w:r>
              <w:rPr>
                <w:rFonts w:hint="eastAsia" w:ascii="仿宋" w:hAnsi="仿宋" w:eastAsia="仿宋"/>
                <w:sz w:val="28"/>
                <w:szCs w:val="28"/>
              </w:rPr>
              <w:t>60%</w:t>
            </w:r>
          </w:p>
        </w:tc>
        <w:tc>
          <w:tcPr>
            <w:tcW w:w="1985" w:type="dxa"/>
            <w:shd w:val="clear" w:color="auto" w:fill="D9E2F3" w:themeFill="accent5" w:themeFillTint="33"/>
            <w:vAlign w:val="center"/>
          </w:tcPr>
          <w:p>
            <w:pPr>
              <w:pStyle w:val="31"/>
              <w:jc w:val="center"/>
              <w:rPr>
                <w:rFonts w:ascii="仿宋" w:hAnsi="仿宋" w:eastAsia="仿宋"/>
                <w:sz w:val="28"/>
                <w:szCs w:val="28"/>
              </w:rPr>
            </w:pPr>
            <w:r>
              <w:rPr>
                <w:rFonts w:hint="eastAsia" w:ascii="仿宋" w:hAnsi="仿宋" w:eastAsia="仿宋"/>
                <w:sz w:val="28"/>
                <w:szCs w:val="28"/>
              </w:rPr>
              <w:t>75%</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Ex>
        <w:trPr>
          <w:trHeight w:val="694" w:hRule="atLeast"/>
          <w:jc w:val="center"/>
        </w:trPr>
        <w:tc>
          <w:tcPr>
            <w:tcW w:w="1277" w:type="dxa"/>
            <w:shd w:val="clear" w:color="auto" w:fill="auto"/>
            <w:vAlign w:val="center"/>
          </w:tcPr>
          <w:p>
            <w:pPr>
              <w:pStyle w:val="31"/>
              <w:jc w:val="center"/>
              <w:rPr>
                <w:rFonts w:ascii="仿宋" w:hAnsi="仿宋" w:eastAsia="仿宋" w:cs="仿宋_GB2312"/>
                <w:b w:val="0"/>
                <w:bCs w:val="0"/>
                <w:sz w:val="28"/>
                <w:szCs w:val="28"/>
              </w:rPr>
            </w:pPr>
            <w:r>
              <w:rPr>
                <w:rFonts w:ascii="仿宋" w:hAnsi="仿宋" w:eastAsia="仿宋" w:cs="仿宋_GB2312"/>
                <w:b w:val="0"/>
                <w:bCs w:val="0"/>
                <w:sz w:val="28"/>
                <w:szCs w:val="28"/>
              </w:rPr>
              <w:t>8</w:t>
            </w:r>
          </w:p>
        </w:tc>
        <w:tc>
          <w:tcPr>
            <w:tcW w:w="2971" w:type="dxa"/>
            <w:shd w:val="clear" w:color="auto" w:fill="auto"/>
            <w:vAlign w:val="center"/>
          </w:tcPr>
          <w:p>
            <w:pPr>
              <w:pStyle w:val="31"/>
              <w:jc w:val="center"/>
              <w:rPr>
                <w:rFonts w:ascii="仿宋" w:hAnsi="仿宋" w:eastAsia="仿宋" w:cs="仿宋_GB2312"/>
                <w:sz w:val="28"/>
                <w:szCs w:val="28"/>
              </w:rPr>
            </w:pPr>
            <w:r>
              <w:rPr>
                <w:rFonts w:hint="eastAsia" w:ascii="仿宋" w:hAnsi="仿宋" w:eastAsia="仿宋" w:cs="仿宋_GB2312"/>
                <w:sz w:val="28"/>
                <w:szCs w:val="28"/>
              </w:rPr>
              <w:t>高中阶段毛入学率</w:t>
            </w:r>
          </w:p>
        </w:tc>
        <w:tc>
          <w:tcPr>
            <w:tcW w:w="1984" w:type="dxa"/>
            <w:shd w:val="clear" w:color="auto" w:fill="auto"/>
            <w:vAlign w:val="center"/>
          </w:tcPr>
          <w:p>
            <w:pPr>
              <w:pStyle w:val="31"/>
              <w:jc w:val="center"/>
              <w:rPr>
                <w:rFonts w:ascii="仿宋" w:hAnsi="仿宋" w:eastAsia="仿宋" w:cs="仿宋_GB2312"/>
                <w:sz w:val="28"/>
                <w:szCs w:val="28"/>
              </w:rPr>
            </w:pPr>
            <w:r>
              <w:rPr>
                <w:rFonts w:hint="eastAsia" w:ascii="仿宋" w:hAnsi="仿宋" w:eastAsia="仿宋" w:cs="仿宋_GB2312"/>
                <w:sz w:val="28"/>
                <w:szCs w:val="28"/>
              </w:rPr>
              <w:t>9</w:t>
            </w:r>
            <w:r>
              <w:rPr>
                <w:rFonts w:ascii="仿宋" w:hAnsi="仿宋" w:eastAsia="仿宋" w:cs="仿宋_GB2312"/>
                <w:sz w:val="28"/>
                <w:szCs w:val="28"/>
              </w:rPr>
              <w:t>5</w:t>
            </w:r>
            <w:r>
              <w:rPr>
                <w:rFonts w:hint="eastAsia" w:ascii="仿宋" w:hAnsi="仿宋" w:eastAsia="仿宋" w:cs="仿宋_GB2312"/>
                <w:sz w:val="28"/>
                <w:szCs w:val="28"/>
              </w:rPr>
              <w:t>%</w:t>
            </w:r>
          </w:p>
        </w:tc>
        <w:tc>
          <w:tcPr>
            <w:tcW w:w="1985" w:type="dxa"/>
            <w:shd w:val="clear" w:color="auto" w:fill="auto"/>
            <w:vAlign w:val="center"/>
          </w:tcPr>
          <w:p>
            <w:pPr>
              <w:pStyle w:val="31"/>
              <w:jc w:val="center"/>
              <w:rPr>
                <w:rFonts w:ascii="仿宋" w:hAnsi="仿宋" w:eastAsia="仿宋" w:cs="仿宋_GB2312"/>
                <w:sz w:val="28"/>
                <w:szCs w:val="28"/>
              </w:rPr>
            </w:pPr>
            <w:r>
              <w:rPr>
                <w:rFonts w:ascii="仿宋" w:hAnsi="仿宋" w:eastAsia="仿宋" w:cs="仿宋_GB2312"/>
                <w:sz w:val="28"/>
                <w:szCs w:val="28"/>
              </w:rPr>
              <w:t>97</w:t>
            </w:r>
            <w:r>
              <w:rPr>
                <w:rFonts w:hint="eastAsia" w:ascii="仿宋" w:hAnsi="仿宋" w:eastAsia="仿宋" w:cs="仿宋_GB2312"/>
                <w:sz w:val="28"/>
                <w:szCs w:val="28"/>
              </w:rPr>
              <w:t>%</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Ex>
        <w:trPr>
          <w:trHeight w:val="694" w:hRule="atLeast"/>
          <w:jc w:val="center"/>
        </w:trPr>
        <w:tc>
          <w:tcPr>
            <w:tcW w:w="1277" w:type="dxa"/>
            <w:shd w:val="clear" w:color="auto" w:fill="D9E2F3" w:themeFill="accent5" w:themeFillTint="33"/>
            <w:vAlign w:val="center"/>
          </w:tcPr>
          <w:p>
            <w:pPr>
              <w:pStyle w:val="31"/>
              <w:jc w:val="center"/>
              <w:rPr>
                <w:rFonts w:ascii="仿宋" w:hAnsi="仿宋" w:eastAsia="仿宋" w:cs="仿宋_GB2312"/>
                <w:b w:val="0"/>
                <w:bCs w:val="0"/>
                <w:sz w:val="28"/>
                <w:szCs w:val="28"/>
              </w:rPr>
            </w:pPr>
            <w:r>
              <w:rPr>
                <w:rFonts w:ascii="仿宋" w:hAnsi="仿宋" w:eastAsia="仿宋" w:cs="仿宋_GB2312"/>
                <w:b w:val="0"/>
                <w:bCs w:val="0"/>
                <w:sz w:val="28"/>
                <w:szCs w:val="28"/>
              </w:rPr>
              <w:t>9</w:t>
            </w:r>
          </w:p>
        </w:tc>
        <w:tc>
          <w:tcPr>
            <w:tcW w:w="2971" w:type="dxa"/>
            <w:shd w:val="clear" w:color="auto" w:fill="D9E2F3" w:themeFill="accent5" w:themeFillTint="33"/>
            <w:vAlign w:val="center"/>
          </w:tcPr>
          <w:p>
            <w:pPr>
              <w:pStyle w:val="31"/>
              <w:jc w:val="center"/>
              <w:rPr>
                <w:rFonts w:ascii="仿宋" w:hAnsi="仿宋" w:eastAsia="仿宋" w:cs="仿宋_GB2312"/>
                <w:sz w:val="28"/>
                <w:szCs w:val="28"/>
              </w:rPr>
            </w:pPr>
            <w:r>
              <w:rPr>
                <w:rFonts w:hint="eastAsia" w:ascii="仿宋" w:hAnsi="仿宋" w:eastAsia="仿宋"/>
                <w:sz w:val="28"/>
                <w:szCs w:val="28"/>
              </w:rPr>
              <w:t>职业教育双师型教师比例</w:t>
            </w:r>
          </w:p>
        </w:tc>
        <w:tc>
          <w:tcPr>
            <w:tcW w:w="1984" w:type="dxa"/>
            <w:shd w:val="clear" w:color="auto" w:fill="D9E2F3" w:themeFill="accent5" w:themeFillTint="33"/>
            <w:vAlign w:val="center"/>
          </w:tcPr>
          <w:p>
            <w:pPr>
              <w:pStyle w:val="31"/>
              <w:jc w:val="center"/>
              <w:rPr>
                <w:rFonts w:ascii="仿宋" w:hAnsi="仿宋" w:eastAsia="仿宋"/>
                <w:sz w:val="28"/>
                <w:szCs w:val="28"/>
              </w:rPr>
            </w:pPr>
            <w:r>
              <w:rPr>
                <w:rFonts w:hint="eastAsia" w:ascii="仿宋" w:hAnsi="仿宋" w:eastAsia="仿宋"/>
                <w:sz w:val="28"/>
                <w:szCs w:val="28"/>
              </w:rPr>
              <w:t>37.4%</w:t>
            </w:r>
          </w:p>
        </w:tc>
        <w:tc>
          <w:tcPr>
            <w:tcW w:w="1985" w:type="dxa"/>
            <w:shd w:val="clear" w:color="auto" w:fill="D9E2F3" w:themeFill="accent5" w:themeFillTint="33"/>
            <w:vAlign w:val="center"/>
          </w:tcPr>
          <w:p>
            <w:pPr>
              <w:pStyle w:val="31"/>
              <w:jc w:val="center"/>
              <w:rPr>
                <w:rFonts w:ascii="仿宋" w:hAnsi="仿宋" w:eastAsia="仿宋"/>
                <w:sz w:val="28"/>
                <w:szCs w:val="28"/>
              </w:rPr>
            </w:pPr>
            <w:r>
              <w:rPr>
                <w:rFonts w:hint="eastAsia" w:ascii="仿宋" w:hAnsi="仿宋" w:eastAsia="仿宋"/>
                <w:sz w:val="28"/>
                <w:szCs w:val="28"/>
              </w:rPr>
              <w:t>55%</w:t>
            </w:r>
          </w:p>
        </w:tc>
      </w:tr>
    </w:tbl>
    <w:p>
      <w:pPr>
        <w:spacing w:before="120" w:after="120" w:line="360" w:lineRule="auto"/>
        <w:ind w:firstLine="567"/>
        <w:rPr>
          <w:color w:val="000000" w:themeColor="text1"/>
          <w14:textFill>
            <w14:solidFill>
              <w14:schemeClr w14:val="tx1"/>
            </w14:solidFill>
          </w14:textFill>
        </w:rPr>
      </w:pPr>
    </w:p>
    <w:p>
      <w:pPr>
        <w:pStyle w:val="48"/>
      </w:pPr>
      <w:r>
        <w:br w:type="page"/>
      </w:r>
      <w:bookmarkStart w:id="14" w:name="_Toc77102095"/>
      <w:r>
        <w:rPr>
          <w:rFonts w:hint="eastAsia"/>
        </w:rPr>
        <w:t>四、发展策略</w:t>
      </w:r>
      <w:bookmarkEnd w:id="14"/>
    </w:p>
    <w:p>
      <w:pPr>
        <w:spacing w:before="120" w:after="120" w:line="360" w:lineRule="auto"/>
        <w:ind w:firstLine="567"/>
        <w:jc w:val="center"/>
        <w:rPr>
          <w:b/>
          <w:color w:val="000000" w:themeColor="text1"/>
          <w14:textFill>
            <w14:solidFill>
              <w14:schemeClr w14:val="tx1"/>
            </w14:solidFill>
          </w14:textFill>
        </w:rPr>
      </w:pPr>
      <w:r>
        <w:rPr>
          <w:color w:val="000000" w:themeColor="text1"/>
          <w14:textFill>
            <w14:solidFill>
              <w14:schemeClr w14:val="tx1"/>
            </w14:solidFill>
          </w14:textFill>
        </w:rPr>
        <w:t xml:space="preserve"> </w:t>
      </w:r>
    </w:p>
    <w:p>
      <w:pPr>
        <w:pStyle w:val="49"/>
        <w:rPr>
          <w:rStyle w:val="33"/>
          <w:b/>
          <w:bCs/>
        </w:rPr>
      </w:pPr>
      <w:bookmarkStart w:id="15" w:name="_Toc77102096"/>
      <w:r>
        <w:rPr>
          <w:rStyle w:val="33"/>
          <w:rFonts w:hint="eastAsia"/>
          <w:b/>
          <w:bCs/>
        </w:rPr>
        <w:t>（一）立德树人</w:t>
      </w:r>
      <w:bookmarkEnd w:id="15"/>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全面贯彻落实党的教育方针，把立德树人作为检验学校一切工作的根本标准，努力构建德智体美劳全面培养的教育体系，为党育人，为国育才，培养社会注意建设者和接班人。</w:t>
      </w:r>
    </w:p>
    <w:p>
      <w:pPr>
        <w:pStyle w:val="49"/>
      </w:pPr>
      <w:bookmarkStart w:id="16" w:name="_Toc77102097"/>
      <w:r>
        <w:rPr>
          <w:rStyle w:val="33"/>
          <w:rFonts w:hint="eastAsia"/>
          <w:b/>
          <w:bCs/>
        </w:rPr>
        <w:t>（二）统筹谋划布局</w:t>
      </w:r>
      <w:bookmarkEnd w:id="16"/>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坚持教育优质均衡的发展思路，统筹规划，促进城乡一体化发展。在海南省教育发展布局规划指导下，与国民经济和社会发展等有关规划有效衔接，统筹海口市教育发展布局专项规划，充分合理安排教育建设用地，落实各级各类学校具体位置和规模。</w:t>
      </w:r>
    </w:p>
    <w:p>
      <w:pPr>
        <w:pStyle w:val="49"/>
      </w:pPr>
      <w:bookmarkStart w:id="17" w:name="_Toc77102098"/>
      <w:r>
        <w:rPr>
          <w:rFonts w:hint="eastAsia"/>
        </w:rPr>
        <w:t>（三）增加教育投入</w:t>
      </w:r>
      <w:bookmarkEnd w:id="17"/>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按照“确保财政一般公共预算教育支出逐年只增不减，确保按在校学生人数平均的一般公共预算教育支出逐年只增不减”的要求，逐年增加教育经费投入。建立健全教育经费投入机制，合理配置教育资源，财政投入向教育优质均衡发展、教师队伍建设等重点领域倾斜，促进城乡、区域之间教育协调发展。加强财务防控风险，强化财政教育经费监督管理，完善教育重大投入政策评估咨询机制。</w:t>
      </w:r>
    </w:p>
    <w:p>
      <w:pPr>
        <w:pStyle w:val="49"/>
      </w:pPr>
      <w:bookmarkStart w:id="18" w:name="_Toc77102099"/>
      <w:r>
        <w:rPr>
          <w:rFonts w:hint="eastAsia"/>
        </w:rPr>
        <w:t>（四）推进教育现代化</w:t>
      </w:r>
      <w:bookmarkEnd w:id="18"/>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贯彻落实《中国教育现代化2035》八大基本理念，更加注重以德为先，更加注重全面发展，更加注重面向人人，更加注重终身学习，更加注重因材施教，更加注重知行合一，更加注重融合发展，更加注重共享共建。</w:t>
      </w:r>
    </w:p>
    <w:p>
      <w:pPr>
        <w:pStyle w:val="49"/>
      </w:pPr>
      <w:bookmarkStart w:id="19" w:name="_Toc77102100"/>
      <w:r>
        <w:rPr>
          <w:rFonts w:hint="eastAsia"/>
        </w:rPr>
        <w:t>（五）教育高质量发展</w:t>
      </w:r>
      <w:bookmarkEnd w:id="19"/>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落实经济社会高质量发展要求，推动教育发展方式向提高质量转变，促进教育的规模结构效益相协调，扩大优质教育资源覆盖面。</w:t>
      </w:r>
    </w:p>
    <w:p>
      <w:pPr>
        <w:pStyle w:val="49"/>
      </w:pPr>
      <w:bookmarkStart w:id="20" w:name="_Toc77102101"/>
      <w:r>
        <w:rPr>
          <w:rFonts w:hint="eastAsia"/>
        </w:rPr>
        <w:t>（六）坚持改革开放</w:t>
      </w:r>
      <w:bookmarkEnd w:id="20"/>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深化考试招生制度改革，积极推进信息技术与教育教学深度融合发展，推动新技术背景下的教育改革。扩大教育对外开放，服务国家战略实施。</w:t>
      </w:r>
    </w:p>
    <w:p>
      <w:pPr>
        <w:pStyle w:val="49"/>
      </w:pPr>
      <w:bookmarkStart w:id="21" w:name="_Toc77102102"/>
      <w:r>
        <w:rPr>
          <w:rFonts w:hint="eastAsia"/>
        </w:rPr>
        <w:t>（七）推进制度集成创新</w:t>
      </w:r>
      <w:bookmarkEnd w:id="21"/>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加快推广集团化办学新模式。组建以区域内优质学校为核心学校，薄弱学校和新建学校为成员学校的教育集团，通过“核心学校+农村学校”、“核心学校+薄弱学校”、“核心学校+新建学校”等模式实现义务教育集团化办学，有效提升新建学校、薄弱学校、农村学校的办学水平和质量。</w:t>
      </w:r>
    </w:p>
    <w:p>
      <w:pPr>
        <w:pStyle w:val="49"/>
      </w:pPr>
      <w:bookmarkStart w:id="22" w:name="_Toc77102103"/>
      <w:r>
        <w:rPr>
          <w:rFonts w:hint="eastAsia"/>
        </w:rPr>
        <w:t>（八）供给侧结构性改革</w:t>
      </w:r>
      <w:bookmarkEnd w:id="22"/>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适应社会主要矛盾的转变，进一步优化教育结构、学科专业结构和人才培养机构，加快构建网络化、数字化、个性化、终身化的教育体系，培育教育服务新业态。</w:t>
      </w:r>
    </w:p>
    <w:p>
      <w:pPr>
        <w:pStyle w:val="49"/>
        <w:rPr>
          <w:highlight w:val="none"/>
        </w:rPr>
      </w:pPr>
      <w:bookmarkStart w:id="23" w:name="_Toc77102104"/>
      <w:r>
        <w:rPr>
          <w:rFonts w:hint="eastAsia"/>
          <w:highlight w:val="none"/>
        </w:rPr>
        <w:t>（九）优先发展农村教育事业，振新乡村教育</w:t>
      </w:r>
      <w:bookmarkEnd w:id="23"/>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实施乡村振兴战略需要优先发展农村教育事业，加大农村教育投入，全面改善贫困地区义务教育薄弱学校基础办学条件，优化公共教育基础设施，实现县域校际资源均衡配置。高度重视农村义务教育，办好学前教育、特殊教育和网络教育，普及高中阶段教育，努力让每个孩子都能够享有公平而有质量的教育。着力建设素质过硬的乡村教师队伍，加大对乡村教师队伍的倾斜。</w:t>
      </w:r>
    </w:p>
    <w:p>
      <w:pPr>
        <w:pStyle w:val="49"/>
      </w:pPr>
      <w:bookmarkStart w:id="24" w:name="_Toc77102105"/>
      <w:r>
        <w:rPr>
          <w:rFonts w:hint="eastAsia"/>
        </w:rPr>
        <w:t>（十）构建特色教育治理体系</w:t>
      </w:r>
      <w:bookmarkEnd w:id="24"/>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提升政府教育治理能力，健全与海口教育相适应的法规，健全教育政策性文件制定程序，实行重大教育决策和政府规范性文件出台前咨询、听证、公示制度；提高人民群众参与度，着力营造有利于教育治理的舆论氛围，形成多元共治的格局。</w:t>
      </w:r>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p>
    <w:p>
      <w:pPr>
        <w:pStyle w:val="48"/>
      </w:pPr>
      <w:bookmarkStart w:id="25" w:name="_Toc77102106"/>
      <w:r>
        <w:rPr>
          <w:rFonts w:hint="eastAsia"/>
        </w:rPr>
        <w:t>五、发展任务</w:t>
      </w:r>
      <w:bookmarkEnd w:id="25"/>
    </w:p>
    <w:p>
      <w:pPr>
        <w:pStyle w:val="49"/>
      </w:pPr>
      <w:bookmarkStart w:id="26" w:name="_Toc77102107"/>
      <w:r>
        <w:rPr>
          <w:rFonts w:hint="eastAsia"/>
        </w:rPr>
        <w:t>（一）学前教育</w:t>
      </w:r>
      <w:bookmarkEnd w:id="26"/>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学前教育是终身学习的开端，是国民教育体系的重要组成部分，是重要的社会公益事业。目前海口市学前教育“入园难”、“入园贵”的问题已得到有效解决，但公办学位供给与百姓需求仍有差距，学前教育总量不足、质量不高、配置不均。为支撑国际教育创新岛建设、为建设海南自贸港提供重要保障、实现教育现代化，海口市将切实办好学前教育，全面提升学前教育质量。</w:t>
      </w:r>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到</w:t>
      </w:r>
      <w:r>
        <w:rPr>
          <w:rFonts w:ascii="仿宋_GB2312" w:hAnsi="仿宋_GB2312" w:eastAsia="仿宋_GB2312" w:cs="仿宋_GB2312"/>
          <w:color w:val="000000" w:themeColor="text1"/>
          <w:sz w:val="32"/>
          <w:szCs w:val="32"/>
          <w14:textFill>
            <w14:solidFill>
              <w14:schemeClr w14:val="tx1"/>
            </w14:solidFill>
          </w14:textFill>
        </w:rPr>
        <w:t>2025年，海口市学前教育水平需达到：普惠优质学前教育公共服务体系基本建成，形成高素质专业化创新型教师队伍，优质教育资源满足群众需要，国际化办学特色基本形成，学前教育发展达到国内先进水平。学前教育毛入园率达到93%，公办园学位达</w:t>
      </w:r>
      <w:r>
        <w:rPr>
          <w:rFonts w:hint="eastAsia" w:ascii="仿宋_GB2312" w:hAnsi="仿宋_GB2312" w:eastAsia="仿宋_GB2312" w:cs="仿宋_GB2312"/>
          <w:color w:val="000000" w:themeColor="text1"/>
          <w:sz w:val="32"/>
          <w:szCs w:val="32"/>
          <w14:textFill>
            <w14:solidFill>
              <w14:schemeClr w14:val="tx1"/>
            </w14:solidFill>
          </w14:textFill>
        </w:rPr>
        <w:t>6.24-6.55</w:t>
      </w:r>
      <w:r>
        <w:rPr>
          <w:rFonts w:ascii="仿宋_GB2312" w:hAnsi="仿宋_GB2312" w:eastAsia="仿宋_GB2312" w:cs="仿宋_GB2312"/>
          <w:color w:val="000000" w:themeColor="text1"/>
          <w:sz w:val="32"/>
          <w:szCs w:val="32"/>
          <w14:textFill>
            <w14:solidFill>
              <w14:schemeClr w14:val="tx1"/>
            </w14:solidFill>
          </w14:textFill>
        </w:rPr>
        <w:t>万个，在园幼儿占比达55%，普惠性幼儿园覆盖率达到85%，公益普惠幼儿园成为学前教育主体；教师接受专业教育的比例达到80%，教师职工队伍整体素质大幅提升；每千人拥有省级优质学位数3个、市级优质学位数10个，每万人拥有国际化学位4个，优质教育资源基本满足群众多种需要。</w:t>
      </w:r>
    </w:p>
    <w:p>
      <w:pPr>
        <w:pStyle w:val="53"/>
        <w:numPr>
          <w:ilvl w:val="0"/>
          <w:numId w:val="6"/>
        </w:numPr>
        <w:ind w:left="567" w:firstLine="0"/>
      </w:pPr>
      <w:r>
        <w:rPr>
          <w:rFonts w:hint="eastAsia"/>
        </w:rPr>
        <w:t>进一步扩大普惠性学前教育资源覆盖面</w:t>
      </w:r>
    </w:p>
    <w:p>
      <w:pPr>
        <w:pStyle w:val="30"/>
        <w:spacing w:before="120" w:after="120" w:line="360" w:lineRule="auto"/>
        <w:ind w:left="0" w:firstLine="567"/>
        <w:rPr>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截至</w:t>
      </w:r>
      <w:r>
        <w:rPr>
          <w:rFonts w:ascii="仿宋_GB2312" w:hAnsi="仿宋_GB2312" w:eastAsia="仿宋_GB2312" w:cs="仿宋_GB2312"/>
          <w:color w:val="000000" w:themeColor="text1"/>
          <w:sz w:val="32"/>
          <w:szCs w:val="32"/>
          <w:highlight w:val="none"/>
          <w14:textFill>
            <w14:solidFill>
              <w14:schemeClr w14:val="tx1"/>
            </w14:solidFill>
          </w14:textFill>
        </w:rPr>
        <w:t>2020</w:t>
      </w:r>
      <w:r>
        <w:rPr>
          <w:rFonts w:hint="eastAsia" w:ascii="仿宋_GB2312" w:hAnsi="仿宋_GB2312" w:eastAsia="仿宋_GB2312" w:cs="仿宋_GB2312"/>
          <w:color w:val="000000" w:themeColor="text1"/>
          <w:sz w:val="32"/>
          <w:szCs w:val="32"/>
          <w:highlight w:val="none"/>
          <w14:textFill>
            <w14:solidFill>
              <w14:schemeClr w14:val="tx1"/>
            </w14:solidFill>
          </w14:textFill>
        </w:rPr>
        <w:t>年，海口市常住人口为</w:t>
      </w:r>
      <w:r>
        <w:rPr>
          <w:rFonts w:ascii="仿宋_GB2312" w:hAnsi="仿宋_GB2312" w:eastAsia="仿宋_GB2312" w:cs="仿宋_GB2312"/>
          <w:color w:val="000000" w:themeColor="text1"/>
          <w:sz w:val="32"/>
          <w:szCs w:val="32"/>
          <w:highlight w:val="none"/>
          <w14:textFill>
            <w14:solidFill>
              <w14:schemeClr w14:val="tx1"/>
            </w14:solidFill>
          </w14:textFill>
        </w:rPr>
        <w:t>287.3</w:t>
      </w:r>
      <w:r>
        <w:rPr>
          <w:rFonts w:hint="eastAsia" w:ascii="仿宋_GB2312" w:hAnsi="仿宋_GB2312" w:eastAsia="仿宋_GB2312" w:cs="仿宋_GB2312"/>
          <w:color w:val="000000" w:themeColor="text1"/>
          <w:sz w:val="32"/>
          <w:szCs w:val="32"/>
          <w:highlight w:val="none"/>
          <w14:textFill>
            <w14:solidFill>
              <w14:schemeClr w14:val="tx1"/>
            </w14:solidFill>
          </w14:textFill>
        </w:rPr>
        <w:t>4万人，每年人口呈现净流入趋势。</w:t>
      </w:r>
      <w:r>
        <w:rPr>
          <w:rFonts w:ascii="仿宋_GB2312" w:hAnsi="仿宋_GB2312" w:eastAsia="仿宋_GB2312" w:cs="仿宋_GB2312"/>
          <w:color w:val="000000" w:themeColor="text1"/>
          <w:sz w:val="32"/>
          <w:szCs w:val="32"/>
          <w:highlight w:val="none"/>
          <w14:textFill>
            <w14:solidFill>
              <w14:schemeClr w14:val="tx1"/>
            </w14:solidFill>
          </w14:textFill>
        </w:rPr>
        <w:t>2019年</w:t>
      </w:r>
      <w:r>
        <w:rPr>
          <w:rFonts w:hint="eastAsia" w:ascii="仿宋_GB2312" w:hAnsi="仿宋_GB2312" w:eastAsia="仿宋_GB2312" w:cs="仿宋_GB2312"/>
          <w:color w:val="000000" w:themeColor="text1"/>
          <w:sz w:val="32"/>
          <w:szCs w:val="32"/>
          <w:highlight w:val="none"/>
          <w14:textFill>
            <w14:solidFill>
              <w14:schemeClr w14:val="tx1"/>
            </w14:solidFill>
          </w14:textFill>
        </w:rPr>
        <w:t>以前，每年净增量较小，但受到海南自由贸易港和人才引进政策的影响，</w:t>
      </w:r>
      <w:r>
        <w:rPr>
          <w:rFonts w:ascii="仿宋_GB2312" w:hAnsi="仿宋_GB2312" w:eastAsia="仿宋_GB2312" w:cs="仿宋_GB2312"/>
          <w:color w:val="000000" w:themeColor="text1"/>
          <w:sz w:val="32"/>
          <w:szCs w:val="32"/>
          <w:highlight w:val="none"/>
          <w14:textFill>
            <w14:solidFill>
              <w14:schemeClr w14:val="tx1"/>
            </w14:solidFill>
          </w14:textFill>
        </w:rPr>
        <w:t>2020年</w:t>
      </w:r>
      <w:r>
        <w:rPr>
          <w:rFonts w:hint="eastAsia" w:ascii="仿宋_GB2312" w:hAnsi="仿宋_GB2312" w:eastAsia="仿宋_GB2312" w:cs="仿宋_GB2312"/>
          <w:color w:val="000000" w:themeColor="text1"/>
          <w:sz w:val="32"/>
          <w:szCs w:val="32"/>
          <w:highlight w:val="none"/>
          <w14:textFill>
            <w14:solidFill>
              <w14:schemeClr w14:val="tx1"/>
            </w14:solidFill>
          </w14:textFill>
        </w:rPr>
        <w:t>人口净增量明显增加，达到</w:t>
      </w:r>
      <w:r>
        <w:rPr>
          <w:rFonts w:ascii="仿宋_GB2312" w:hAnsi="仿宋_GB2312" w:eastAsia="仿宋_GB2312" w:cs="仿宋_GB2312"/>
          <w:color w:val="000000" w:themeColor="text1"/>
          <w:sz w:val="32"/>
          <w:szCs w:val="32"/>
          <w:highlight w:val="none"/>
          <w14:textFill>
            <w14:solidFill>
              <w14:schemeClr w14:val="tx1"/>
            </w14:solidFill>
          </w14:textFill>
        </w:rPr>
        <w:t>5</w:t>
      </w:r>
      <w:r>
        <w:rPr>
          <w:rFonts w:hint="eastAsia" w:ascii="仿宋_GB2312" w:hAnsi="仿宋_GB2312" w:eastAsia="仿宋_GB2312" w:cs="仿宋_GB2312"/>
          <w:color w:val="000000" w:themeColor="text1"/>
          <w:sz w:val="32"/>
          <w:szCs w:val="32"/>
          <w:highlight w:val="none"/>
          <w14:textFill>
            <w14:solidFill>
              <w14:schemeClr w14:val="tx1"/>
            </w14:solidFill>
          </w14:textFill>
        </w:rPr>
        <w:t>2.76</w:t>
      </w:r>
      <w:r>
        <w:rPr>
          <w:rFonts w:ascii="仿宋_GB2312" w:hAnsi="仿宋_GB2312" w:eastAsia="仿宋_GB2312" w:cs="仿宋_GB2312"/>
          <w:color w:val="000000" w:themeColor="text1"/>
          <w:sz w:val="32"/>
          <w:szCs w:val="32"/>
          <w:highlight w:val="none"/>
          <w14:textFill>
            <w14:solidFill>
              <w14:schemeClr w14:val="tx1"/>
            </w14:solidFill>
          </w14:textFill>
        </w:rPr>
        <w:t>万</w:t>
      </w:r>
      <w:r>
        <w:rPr>
          <w:rFonts w:hint="eastAsia" w:ascii="仿宋_GB2312" w:hAnsi="仿宋_GB2312" w:eastAsia="仿宋_GB2312" w:cs="仿宋_GB2312"/>
          <w:color w:val="000000" w:themeColor="text1"/>
          <w:sz w:val="32"/>
          <w:szCs w:val="32"/>
          <w:highlight w:val="none"/>
          <w14:textFill>
            <w14:solidFill>
              <w14:schemeClr w14:val="tx1"/>
            </w14:solidFill>
          </w14:textFill>
        </w:rPr>
        <w:t>人，预计未来人口将持续受到政策影响，仍会保持增长态势。根据人口规模测算逻辑，到</w:t>
      </w:r>
      <w:r>
        <w:rPr>
          <w:rFonts w:ascii="仿宋_GB2312" w:hAnsi="仿宋_GB2312" w:eastAsia="仿宋_GB2312" w:cs="仿宋_GB2312"/>
          <w:color w:val="000000" w:themeColor="text1"/>
          <w:sz w:val="32"/>
          <w:szCs w:val="32"/>
          <w:highlight w:val="none"/>
          <w14:textFill>
            <w14:solidFill>
              <w14:schemeClr w14:val="tx1"/>
            </w14:solidFill>
          </w14:textFill>
        </w:rPr>
        <w:t>2025年，海口市常住人口将达到334.2</w:t>
      </w:r>
      <w:r>
        <w:rPr>
          <w:rFonts w:hint="eastAsia" w:ascii="仿宋_GB2312" w:hAnsi="仿宋_GB2312" w:eastAsia="仿宋_GB2312" w:cs="仿宋_GB2312"/>
          <w:color w:val="000000" w:themeColor="text1"/>
          <w:sz w:val="32"/>
          <w:szCs w:val="32"/>
          <w:highlight w:val="none"/>
          <w14:textFill>
            <w14:solidFill>
              <w14:schemeClr w14:val="tx1"/>
            </w14:solidFill>
          </w14:textFill>
        </w:rPr>
        <w:t>5-</w:t>
      </w:r>
      <w:r>
        <w:rPr>
          <w:rFonts w:ascii="仿宋_GB2312" w:hAnsi="仿宋_GB2312" w:eastAsia="仿宋_GB2312" w:cs="仿宋_GB2312"/>
          <w:color w:val="000000" w:themeColor="text1"/>
          <w:sz w:val="32"/>
          <w:szCs w:val="32"/>
          <w:highlight w:val="none"/>
          <w14:textFill>
            <w14:solidFill>
              <w14:schemeClr w14:val="tx1"/>
            </w14:solidFill>
          </w14:textFill>
        </w:rPr>
        <w:t>380.1</w:t>
      </w:r>
      <w:r>
        <w:rPr>
          <w:rFonts w:hint="eastAsia" w:ascii="仿宋_GB2312" w:hAnsi="仿宋_GB2312" w:eastAsia="仿宋_GB2312" w:cs="仿宋_GB2312"/>
          <w:color w:val="000000" w:themeColor="text1"/>
          <w:sz w:val="32"/>
          <w:szCs w:val="32"/>
          <w:highlight w:val="none"/>
          <w14:textFill>
            <w14:solidFill>
              <w14:schemeClr w14:val="tx1"/>
            </w14:solidFill>
          </w14:textFill>
        </w:rPr>
        <w:t>8万人。</w:t>
      </w:r>
    </w:p>
    <w:p>
      <w:pPr>
        <w:pStyle w:val="5"/>
        <w:keepNext/>
        <w:spacing w:before="120" w:after="120" w:line="360" w:lineRule="auto"/>
        <w:ind w:firstLine="567"/>
        <w:jc w:val="center"/>
        <w:rPr>
          <w:rFonts w:ascii="仿宋_GB2312" w:hAnsi="仿宋_GB2312" w:eastAsia="仿宋_GB2312" w:cs="仿宋_GB2312"/>
          <w:b/>
          <w:i w:val="0"/>
          <w:color w:val="000000" w:themeColor="text1"/>
          <w:sz w:val="28"/>
          <w:szCs w:val="28"/>
          <w:highlight w:val="none"/>
          <w14:textFill>
            <w14:solidFill>
              <w14:schemeClr w14:val="tx1"/>
            </w14:solidFill>
          </w14:textFill>
        </w:rPr>
      </w:pPr>
      <w:r>
        <w:rPr>
          <w:rFonts w:hint="eastAsia" w:ascii="仿宋_GB2312" w:hAnsi="仿宋_GB2312" w:eastAsia="仿宋_GB2312" w:cs="仿宋_GB2312"/>
          <w:b/>
          <w:i w:val="0"/>
          <w:color w:val="000000" w:themeColor="text1"/>
          <w:sz w:val="28"/>
          <w:szCs w:val="28"/>
          <w:highlight w:val="none"/>
          <w14:textFill>
            <w14:solidFill>
              <w14:schemeClr w14:val="tx1"/>
            </w14:solidFill>
          </w14:textFill>
        </w:rPr>
        <w:t>海口市未来常住人口预测（单位：万人）</w:t>
      </w:r>
    </w:p>
    <w:tbl>
      <w:tblPr>
        <w:tblStyle w:val="22"/>
        <w:tblW w:w="9953" w:type="dxa"/>
        <w:jc w:val="center"/>
        <w:tblLayout w:type="autofit"/>
        <w:tblCellMar>
          <w:top w:w="0" w:type="dxa"/>
          <w:left w:w="108" w:type="dxa"/>
          <w:bottom w:w="0" w:type="dxa"/>
          <w:right w:w="108" w:type="dxa"/>
        </w:tblCellMar>
      </w:tblPr>
      <w:tblGrid>
        <w:gridCol w:w="1134"/>
        <w:gridCol w:w="2694"/>
        <w:gridCol w:w="1559"/>
        <w:gridCol w:w="2866"/>
        <w:gridCol w:w="1700"/>
      </w:tblGrid>
      <w:tr>
        <w:tblPrEx>
          <w:tblCellMar>
            <w:top w:w="0" w:type="dxa"/>
            <w:left w:w="108" w:type="dxa"/>
            <w:bottom w:w="0" w:type="dxa"/>
            <w:right w:w="108" w:type="dxa"/>
          </w:tblCellMar>
        </w:tblPrEx>
        <w:trPr>
          <w:trHeight w:val="367" w:hRule="atLeast"/>
          <w:jc w:val="center"/>
        </w:trPr>
        <w:tc>
          <w:tcPr>
            <w:tcW w:w="9953" w:type="dxa"/>
            <w:gridSpan w:val="5"/>
            <w:tcBorders>
              <w:top w:val="nil"/>
              <w:left w:val="nil"/>
              <w:bottom w:val="nil"/>
              <w:right w:val="nil"/>
            </w:tcBorders>
            <w:shd w:val="clear" w:color="auto" w:fill="auto"/>
            <w:noWrap/>
            <w:vAlign w:val="center"/>
          </w:tcPr>
          <w:p>
            <w:pPr>
              <w:spacing w:after="0" w:line="240" w:lineRule="auto"/>
              <w:rPr>
                <w:rFonts w:ascii="仿宋" w:hAnsi="仿宋" w:eastAsia="仿宋" w:cs="Calibri"/>
                <w:color w:val="000000"/>
                <w:sz w:val="28"/>
                <w:szCs w:val="28"/>
                <w:highlight w:val="none"/>
              </w:rPr>
            </w:pPr>
          </w:p>
        </w:tc>
      </w:tr>
      <w:tr>
        <w:tblPrEx>
          <w:tblCellMar>
            <w:top w:w="0" w:type="dxa"/>
            <w:left w:w="108" w:type="dxa"/>
            <w:bottom w:w="0" w:type="dxa"/>
            <w:right w:w="108" w:type="dxa"/>
          </w:tblCellMar>
        </w:tblPrEx>
        <w:trPr>
          <w:trHeight w:val="423" w:hRule="atLeast"/>
          <w:jc w:val="center"/>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Calibri"/>
                <w:b/>
                <w:bCs/>
                <w:color w:val="000000"/>
                <w:sz w:val="28"/>
                <w:szCs w:val="28"/>
                <w:highlight w:val="none"/>
              </w:rPr>
            </w:pPr>
            <w:r>
              <w:rPr>
                <w:rFonts w:ascii="仿宋" w:hAnsi="仿宋" w:eastAsia="仿宋" w:cs="PMingLiU"/>
                <w:b/>
                <w:bCs/>
                <w:color w:val="000000"/>
                <w:sz w:val="28"/>
                <w:szCs w:val="28"/>
                <w:highlight w:val="none"/>
              </w:rPr>
              <w:t>年份</w:t>
            </w:r>
          </w:p>
        </w:tc>
        <w:tc>
          <w:tcPr>
            <w:tcW w:w="2694"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Calibri"/>
                <w:b/>
                <w:bCs/>
                <w:color w:val="000000"/>
                <w:sz w:val="28"/>
                <w:szCs w:val="28"/>
                <w:highlight w:val="none"/>
              </w:rPr>
            </w:pPr>
            <w:r>
              <w:rPr>
                <w:rFonts w:ascii="仿宋" w:hAnsi="仿宋" w:eastAsia="仿宋" w:cs="PMingLiU"/>
                <w:b/>
                <w:bCs/>
                <w:color w:val="000000"/>
                <w:sz w:val="28"/>
                <w:szCs w:val="28"/>
                <w:highlight w:val="none"/>
              </w:rPr>
              <w:t>预测人口最小值（万人）</w:t>
            </w:r>
          </w:p>
        </w:tc>
        <w:tc>
          <w:tcPr>
            <w:tcW w:w="1559"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Calibri"/>
                <w:b/>
                <w:bCs/>
                <w:color w:val="000000"/>
                <w:sz w:val="28"/>
                <w:szCs w:val="28"/>
                <w:highlight w:val="none"/>
              </w:rPr>
            </w:pPr>
            <w:r>
              <w:rPr>
                <w:rFonts w:ascii="仿宋" w:hAnsi="仿宋" w:eastAsia="仿宋" w:cs="PMingLiU"/>
                <w:b/>
                <w:bCs/>
                <w:color w:val="000000"/>
                <w:sz w:val="28"/>
                <w:szCs w:val="28"/>
                <w:highlight w:val="none"/>
              </w:rPr>
              <w:t>净增量（万人）</w:t>
            </w:r>
          </w:p>
        </w:tc>
        <w:tc>
          <w:tcPr>
            <w:tcW w:w="2866"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jc w:val="center"/>
              <w:rPr>
                <w:rFonts w:ascii="仿宋" w:hAnsi="仿宋" w:eastAsia="仿宋" w:cs="Calibri"/>
                <w:b/>
                <w:bCs/>
                <w:color w:val="000000"/>
                <w:sz w:val="28"/>
                <w:szCs w:val="28"/>
                <w:highlight w:val="none"/>
              </w:rPr>
            </w:pPr>
            <w:r>
              <w:rPr>
                <w:rFonts w:ascii="仿宋" w:hAnsi="仿宋" w:eastAsia="仿宋" w:cs="PMingLiU"/>
                <w:b/>
                <w:bCs/>
                <w:color w:val="000000"/>
                <w:sz w:val="28"/>
                <w:szCs w:val="28"/>
                <w:highlight w:val="none"/>
              </w:rPr>
              <w:t>预测人口最大值（万人）</w:t>
            </w:r>
          </w:p>
        </w:tc>
        <w:tc>
          <w:tcPr>
            <w:tcW w:w="1700" w:type="dxa"/>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ascii="仿宋" w:hAnsi="仿宋" w:eastAsia="仿宋" w:cs="Calibri"/>
                <w:b/>
                <w:bCs/>
                <w:color w:val="000000"/>
                <w:sz w:val="28"/>
                <w:szCs w:val="28"/>
                <w:highlight w:val="none"/>
              </w:rPr>
            </w:pPr>
            <w:r>
              <w:rPr>
                <w:rFonts w:ascii="仿宋" w:hAnsi="仿宋" w:eastAsia="仿宋" w:cs="PMingLiU"/>
                <w:b/>
                <w:bCs/>
                <w:color w:val="000000"/>
                <w:sz w:val="28"/>
                <w:szCs w:val="28"/>
                <w:highlight w:val="none"/>
              </w:rPr>
              <w:t>净增量（万人）</w:t>
            </w:r>
          </w:p>
        </w:tc>
      </w:tr>
      <w:tr>
        <w:tblPrEx>
          <w:tblCellMar>
            <w:top w:w="0" w:type="dxa"/>
            <w:left w:w="108" w:type="dxa"/>
            <w:bottom w:w="0" w:type="dxa"/>
            <w:right w:w="108" w:type="dxa"/>
          </w:tblCellMar>
        </w:tblPrEx>
        <w:trPr>
          <w:trHeight w:val="367" w:hRule="atLeast"/>
          <w:jc w:val="center"/>
        </w:trPr>
        <w:tc>
          <w:tcPr>
            <w:tcW w:w="1134"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Calibri"/>
                <w:color w:val="000000"/>
                <w:sz w:val="28"/>
                <w:szCs w:val="28"/>
                <w:highlight w:val="none"/>
              </w:rPr>
            </w:pPr>
            <w:r>
              <w:rPr>
                <w:rFonts w:ascii="仿宋" w:hAnsi="仿宋" w:eastAsia="仿宋" w:cs="Calibri"/>
                <w:color w:val="000000"/>
                <w:sz w:val="28"/>
                <w:szCs w:val="28"/>
                <w:highlight w:val="none"/>
              </w:rPr>
              <w:t>2021</w:t>
            </w:r>
          </w:p>
        </w:tc>
        <w:tc>
          <w:tcPr>
            <w:tcW w:w="269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Calibri"/>
                <w:color w:val="000000"/>
                <w:sz w:val="28"/>
                <w:szCs w:val="28"/>
                <w:highlight w:val="none"/>
              </w:rPr>
            </w:pPr>
            <w:r>
              <w:rPr>
                <w:rFonts w:ascii="仿宋" w:hAnsi="仿宋" w:eastAsia="仿宋" w:cs="Calibri"/>
                <w:color w:val="000000"/>
                <w:sz w:val="28"/>
                <w:szCs w:val="28"/>
                <w:highlight w:val="none"/>
              </w:rPr>
              <w:t>299.5</w:t>
            </w:r>
            <w:r>
              <w:rPr>
                <w:rFonts w:hint="eastAsia" w:ascii="仿宋" w:hAnsi="仿宋" w:eastAsia="仿宋" w:cs="Calibri"/>
                <w:color w:val="000000"/>
                <w:sz w:val="28"/>
                <w:szCs w:val="28"/>
                <w:highlight w:val="none"/>
              </w:rPr>
              <w:t>6</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Calibri"/>
                <w:color w:val="000000"/>
                <w:sz w:val="28"/>
                <w:szCs w:val="28"/>
                <w:highlight w:val="none"/>
              </w:rPr>
            </w:pPr>
            <w:r>
              <w:rPr>
                <w:rFonts w:ascii="仿宋" w:hAnsi="仿宋" w:eastAsia="仿宋" w:cs="Calibri"/>
                <w:color w:val="000000"/>
                <w:sz w:val="28"/>
                <w:szCs w:val="28"/>
                <w:highlight w:val="none"/>
              </w:rPr>
              <w:t>12.22</w:t>
            </w:r>
          </w:p>
        </w:tc>
        <w:tc>
          <w:tcPr>
            <w:tcW w:w="286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Calibri"/>
                <w:color w:val="000000"/>
                <w:sz w:val="28"/>
                <w:szCs w:val="28"/>
                <w:highlight w:val="none"/>
              </w:rPr>
            </w:pPr>
            <w:r>
              <w:rPr>
                <w:rFonts w:ascii="仿宋" w:hAnsi="仿宋" w:eastAsia="仿宋" w:cs="Calibri"/>
                <w:color w:val="000000"/>
                <w:sz w:val="28"/>
                <w:szCs w:val="28"/>
                <w:highlight w:val="none"/>
              </w:rPr>
              <w:t>314.5</w:t>
            </w:r>
            <w:r>
              <w:rPr>
                <w:rFonts w:hint="eastAsia" w:ascii="仿宋" w:hAnsi="仿宋" w:eastAsia="仿宋" w:cs="Calibri"/>
                <w:color w:val="000000"/>
                <w:sz w:val="28"/>
                <w:szCs w:val="28"/>
                <w:highlight w:val="none"/>
              </w:rPr>
              <w:t>6</w:t>
            </w:r>
          </w:p>
        </w:tc>
        <w:tc>
          <w:tcPr>
            <w:tcW w:w="1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Calibri"/>
                <w:color w:val="000000"/>
                <w:sz w:val="28"/>
                <w:szCs w:val="28"/>
                <w:highlight w:val="none"/>
              </w:rPr>
            </w:pPr>
            <w:r>
              <w:rPr>
                <w:rFonts w:ascii="仿宋" w:hAnsi="仿宋" w:eastAsia="仿宋" w:cs="Calibri"/>
                <w:color w:val="000000"/>
                <w:sz w:val="28"/>
                <w:szCs w:val="28"/>
                <w:highlight w:val="none"/>
              </w:rPr>
              <w:t>27.22</w:t>
            </w:r>
          </w:p>
        </w:tc>
      </w:tr>
      <w:tr>
        <w:tblPrEx>
          <w:tblCellMar>
            <w:top w:w="0" w:type="dxa"/>
            <w:left w:w="108" w:type="dxa"/>
            <w:bottom w:w="0" w:type="dxa"/>
            <w:right w:w="108" w:type="dxa"/>
          </w:tblCellMar>
        </w:tblPrEx>
        <w:trPr>
          <w:trHeight w:val="367" w:hRule="atLeast"/>
          <w:jc w:val="center"/>
        </w:trPr>
        <w:tc>
          <w:tcPr>
            <w:tcW w:w="1134"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Calibri"/>
                <w:color w:val="000000"/>
                <w:sz w:val="28"/>
                <w:szCs w:val="28"/>
                <w:highlight w:val="none"/>
              </w:rPr>
            </w:pPr>
            <w:r>
              <w:rPr>
                <w:rFonts w:ascii="仿宋" w:hAnsi="仿宋" w:eastAsia="仿宋" w:cs="Calibri"/>
                <w:color w:val="000000"/>
                <w:sz w:val="28"/>
                <w:szCs w:val="28"/>
                <w:highlight w:val="none"/>
              </w:rPr>
              <w:t>2022</w:t>
            </w:r>
          </w:p>
        </w:tc>
        <w:tc>
          <w:tcPr>
            <w:tcW w:w="269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Calibri"/>
                <w:color w:val="000000"/>
                <w:sz w:val="28"/>
                <w:szCs w:val="28"/>
                <w:highlight w:val="none"/>
              </w:rPr>
            </w:pPr>
            <w:r>
              <w:rPr>
                <w:rFonts w:ascii="仿宋" w:hAnsi="仿宋" w:eastAsia="仿宋" w:cs="Calibri"/>
                <w:color w:val="000000"/>
                <w:sz w:val="28"/>
                <w:szCs w:val="28"/>
                <w:highlight w:val="none"/>
              </w:rPr>
              <w:t>311.8</w:t>
            </w:r>
            <w:r>
              <w:rPr>
                <w:rFonts w:hint="eastAsia" w:ascii="仿宋" w:hAnsi="仿宋" w:eastAsia="仿宋" w:cs="Calibri"/>
                <w:color w:val="000000"/>
                <w:sz w:val="28"/>
                <w:szCs w:val="28"/>
                <w:highlight w:val="none"/>
              </w:rPr>
              <w:t>6</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Calibri"/>
                <w:color w:val="000000"/>
                <w:sz w:val="28"/>
                <w:szCs w:val="28"/>
                <w:highlight w:val="none"/>
              </w:rPr>
            </w:pPr>
            <w:r>
              <w:rPr>
                <w:rFonts w:ascii="仿宋" w:hAnsi="仿宋" w:eastAsia="仿宋" w:cs="Calibri"/>
                <w:color w:val="000000"/>
                <w:sz w:val="28"/>
                <w:szCs w:val="28"/>
                <w:highlight w:val="none"/>
              </w:rPr>
              <w:t>12.31</w:t>
            </w:r>
          </w:p>
        </w:tc>
        <w:tc>
          <w:tcPr>
            <w:tcW w:w="286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Calibri"/>
                <w:color w:val="000000"/>
                <w:sz w:val="28"/>
                <w:szCs w:val="28"/>
                <w:highlight w:val="none"/>
              </w:rPr>
            </w:pPr>
            <w:r>
              <w:rPr>
                <w:rFonts w:ascii="仿宋" w:hAnsi="仿宋" w:eastAsia="仿宋" w:cs="Calibri"/>
                <w:color w:val="000000"/>
                <w:sz w:val="28"/>
                <w:szCs w:val="28"/>
                <w:highlight w:val="none"/>
              </w:rPr>
              <w:t>341.</w:t>
            </w:r>
            <w:r>
              <w:rPr>
                <w:rFonts w:hint="eastAsia" w:ascii="仿宋" w:hAnsi="仿宋" w:eastAsia="仿宋" w:cs="Calibri"/>
                <w:color w:val="000000"/>
                <w:sz w:val="28"/>
                <w:szCs w:val="28"/>
                <w:highlight w:val="none"/>
              </w:rPr>
              <w:t>98</w:t>
            </w:r>
          </w:p>
        </w:tc>
        <w:tc>
          <w:tcPr>
            <w:tcW w:w="1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Calibri"/>
                <w:color w:val="000000"/>
                <w:sz w:val="28"/>
                <w:szCs w:val="28"/>
                <w:highlight w:val="none"/>
              </w:rPr>
            </w:pPr>
            <w:r>
              <w:rPr>
                <w:rFonts w:ascii="仿宋" w:hAnsi="仿宋" w:eastAsia="仿宋" w:cs="Calibri"/>
                <w:color w:val="000000"/>
                <w:sz w:val="28"/>
                <w:szCs w:val="28"/>
                <w:highlight w:val="none"/>
              </w:rPr>
              <w:t>27.43</w:t>
            </w:r>
          </w:p>
        </w:tc>
      </w:tr>
      <w:tr>
        <w:tblPrEx>
          <w:tblCellMar>
            <w:top w:w="0" w:type="dxa"/>
            <w:left w:w="108" w:type="dxa"/>
            <w:bottom w:w="0" w:type="dxa"/>
            <w:right w:w="108" w:type="dxa"/>
          </w:tblCellMar>
        </w:tblPrEx>
        <w:trPr>
          <w:trHeight w:val="367" w:hRule="atLeast"/>
          <w:jc w:val="center"/>
        </w:trPr>
        <w:tc>
          <w:tcPr>
            <w:tcW w:w="1134"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Calibri"/>
                <w:color w:val="000000"/>
                <w:sz w:val="28"/>
                <w:szCs w:val="28"/>
                <w:highlight w:val="none"/>
              </w:rPr>
            </w:pPr>
            <w:r>
              <w:rPr>
                <w:rFonts w:ascii="仿宋" w:hAnsi="仿宋" w:eastAsia="仿宋" w:cs="Calibri"/>
                <w:color w:val="000000"/>
                <w:sz w:val="28"/>
                <w:szCs w:val="28"/>
                <w:highlight w:val="none"/>
              </w:rPr>
              <w:t>2023</w:t>
            </w:r>
          </w:p>
        </w:tc>
        <w:tc>
          <w:tcPr>
            <w:tcW w:w="269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Calibri"/>
                <w:color w:val="000000"/>
                <w:sz w:val="28"/>
                <w:szCs w:val="28"/>
                <w:highlight w:val="none"/>
              </w:rPr>
            </w:pPr>
            <w:r>
              <w:rPr>
                <w:rFonts w:ascii="仿宋" w:hAnsi="仿宋" w:eastAsia="仿宋" w:cs="Calibri"/>
                <w:color w:val="000000"/>
                <w:sz w:val="28"/>
                <w:szCs w:val="28"/>
                <w:highlight w:val="none"/>
              </w:rPr>
              <w:t>319.2</w:t>
            </w:r>
            <w:r>
              <w:rPr>
                <w:rFonts w:hint="eastAsia" w:ascii="仿宋" w:hAnsi="仿宋" w:eastAsia="仿宋" w:cs="Calibri"/>
                <w:color w:val="000000"/>
                <w:sz w:val="28"/>
                <w:szCs w:val="28"/>
                <w:highlight w:val="none"/>
              </w:rPr>
              <w:t>7</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Calibri"/>
                <w:color w:val="000000"/>
                <w:sz w:val="28"/>
                <w:szCs w:val="28"/>
                <w:highlight w:val="none"/>
              </w:rPr>
            </w:pPr>
            <w:r>
              <w:rPr>
                <w:rFonts w:ascii="仿宋" w:hAnsi="仿宋" w:eastAsia="仿宋" w:cs="Calibri"/>
                <w:color w:val="000000"/>
                <w:sz w:val="28"/>
                <w:szCs w:val="28"/>
                <w:highlight w:val="none"/>
              </w:rPr>
              <w:t>7.40</w:t>
            </w:r>
          </w:p>
        </w:tc>
        <w:tc>
          <w:tcPr>
            <w:tcW w:w="286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Calibri"/>
                <w:color w:val="000000"/>
                <w:sz w:val="28"/>
                <w:szCs w:val="28"/>
                <w:highlight w:val="none"/>
              </w:rPr>
            </w:pPr>
            <w:r>
              <w:rPr>
                <w:rFonts w:ascii="仿宋" w:hAnsi="仿宋" w:eastAsia="仿宋" w:cs="Calibri"/>
                <w:color w:val="000000"/>
                <w:sz w:val="28"/>
                <w:szCs w:val="28"/>
                <w:highlight w:val="none"/>
              </w:rPr>
              <w:t>354.6</w:t>
            </w:r>
            <w:r>
              <w:rPr>
                <w:rFonts w:hint="eastAsia" w:ascii="仿宋" w:hAnsi="仿宋" w:eastAsia="仿宋" w:cs="Calibri"/>
                <w:color w:val="000000"/>
                <w:sz w:val="28"/>
                <w:szCs w:val="28"/>
                <w:highlight w:val="none"/>
              </w:rPr>
              <w:t>2</w:t>
            </w:r>
          </w:p>
        </w:tc>
        <w:tc>
          <w:tcPr>
            <w:tcW w:w="1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Calibri"/>
                <w:color w:val="000000"/>
                <w:sz w:val="28"/>
                <w:szCs w:val="28"/>
                <w:highlight w:val="none"/>
              </w:rPr>
            </w:pPr>
            <w:r>
              <w:rPr>
                <w:rFonts w:ascii="仿宋" w:hAnsi="仿宋" w:eastAsia="仿宋" w:cs="Calibri"/>
                <w:color w:val="000000"/>
                <w:sz w:val="28"/>
                <w:szCs w:val="28"/>
                <w:highlight w:val="none"/>
              </w:rPr>
              <w:t>12.64</w:t>
            </w:r>
          </w:p>
        </w:tc>
      </w:tr>
      <w:tr>
        <w:tblPrEx>
          <w:tblCellMar>
            <w:top w:w="0" w:type="dxa"/>
            <w:left w:w="108" w:type="dxa"/>
            <w:bottom w:w="0" w:type="dxa"/>
            <w:right w:w="108" w:type="dxa"/>
          </w:tblCellMar>
        </w:tblPrEx>
        <w:trPr>
          <w:trHeight w:val="367" w:hRule="atLeast"/>
          <w:jc w:val="center"/>
        </w:trPr>
        <w:tc>
          <w:tcPr>
            <w:tcW w:w="1134"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Calibri"/>
                <w:color w:val="000000"/>
                <w:sz w:val="28"/>
                <w:szCs w:val="28"/>
                <w:highlight w:val="none"/>
              </w:rPr>
            </w:pPr>
            <w:r>
              <w:rPr>
                <w:rFonts w:ascii="仿宋" w:hAnsi="仿宋" w:eastAsia="仿宋" w:cs="Calibri"/>
                <w:color w:val="000000"/>
                <w:sz w:val="28"/>
                <w:szCs w:val="28"/>
                <w:highlight w:val="none"/>
              </w:rPr>
              <w:t>2024</w:t>
            </w:r>
          </w:p>
        </w:tc>
        <w:tc>
          <w:tcPr>
            <w:tcW w:w="269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Calibri"/>
                <w:color w:val="000000"/>
                <w:sz w:val="28"/>
                <w:szCs w:val="28"/>
                <w:highlight w:val="none"/>
              </w:rPr>
            </w:pPr>
            <w:r>
              <w:rPr>
                <w:rFonts w:ascii="仿宋" w:hAnsi="仿宋" w:eastAsia="仿宋" w:cs="Calibri"/>
                <w:color w:val="000000"/>
                <w:sz w:val="28"/>
                <w:szCs w:val="28"/>
                <w:highlight w:val="none"/>
              </w:rPr>
              <w:t>326.7</w:t>
            </w:r>
            <w:r>
              <w:rPr>
                <w:rFonts w:hint="eastAsia" w:ascii="仿宋" w:hAnsi="仿宋" w:eastAsia="仿宋" w:cs="Calibri"/>
                <w:color w:val="000000"/>
                <w:sz w:val="28"/>
                <w:szCs w:val="28"/>
                <w:highlight w:val="none"/>
              </w:rPr>
              <w:t>3</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Calibri"/>
                <w:color w:val="000000"/>
                <w:sz w:val="28"/>
                <w:szCs w:val="28"/>
                <w:highlight w:val="none"/>
              </w:rPr>
            </w:pPr>
            <w:r>
              <w:rPr>
                <w:rFonts w:ascii="仿宋" w:hAnsi="仿宋" w:eastAsia="仿宋" w:cs="Calibri"/>
                <w:color w:val="000000"/>
                <w:sz w:val="28"/>
                <w:szCs w:val="28"/>
                <w:highlight w:val="none"/>
              </w:rPr>
              <w:t>7.46</w:t>
            </w:r>
          </w:p>
        </w:tc>
        <w:tc>
          <w:tcPr>
            <w:tcW w:w="286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Calibri"/>
                <w:color w:val="000000"/>
                <w:sz w:val="28"/>
                <w:szCs w:val="28"/>
                <w:highlight w:val="none"/>
              </w:rPr>
            </w:pPr>
            <w:r>
              <w:rPr>
                <w:rFonts w:ascii="仿宋" w:hAnsi="仿宋" w:eastAsia="仿宋" w:cs="Calibri"/>
                <w:color w:val="000000"/>
                <w:sz w:val="28"/>
                <w:szCs w:val="28"/>
                <w:highlight w:val="none"/>
              </w:rPr>
              <w:t>367.3</w:t>
            </w:r>
            <w:r>
              <w:rPr>
                <w:rFonts w:hint="eastAsia" w:ascii="仿宋" w:hAnsi="仿宋" w:eastAsia="仿宋" w:cs="Calibri"/>
                <w:color w:val="000000"/>
                <w:sz w:val="28"/>
                <w:szCs w:val="28"/>
                <w:highlight w:val="none"/>
              </w:rPr>
              <w:t>5</w:t>
            </w:r>
          </w:p>
        </w:tc>
        <w:tc>
          <w:tcPr>
            <w:tcW w:w="1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Calibri"/>
                <w:color w:val="000000"/>
                <w:sz w:val="28"/>
                <w:szCs w:val="28"/>
                <w:highlight w:val="none"/>
              </w:rPr>
            </w:pPr>
            <w:r>
              <w:rPr>
                <w:rFonts w:ascii="仿宋" w:hAnsi="仿宋" w:eastAsia="仿宋" w:cs="Calibri"/>
                <w:color w:val="000000"/>
                <w:sz w:val="28"/>
                <w:szCs w:val="28"/>
                <w:highlight w:val="none"/>
              </w:rPr>
              <w:t>12.73</w:t>
            </w:r>
          </w:p>
        </w:tc>
      </w:tr>
      <w:tr>
        <w:tblPrEx>
          <w:tblCellMar>
            <w:top w:w="0" w:type="dxa"/>
            <w:left w:w="108" w:type="dxa"/>
            <w:bottom w:w="0" w:type="dxa"/>
            <w:right w:w="108" w:type="dxa"/>
          </w:tblCellMar>
        </w:tblPrEx>
        <w:trPr>
          <w:trHeight w:val="367" w:hRule="atLeast"/>
          <w:jc w:val="center"/>
        </w:trPr>
        <w:tc>
          <w:tcPr>
            <w:tcW w:w="1134"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Calibri"/>
                <w:color w:val="000000"/>
                <w:sz w:val="28"/>
                <w:szCs w:val="28"/>
                <w:highlight w:val="none"/>
              </w:rPr>
            </w:pPr>
            <w:r>
              <w:rPr>
                <w:rFonts w:ascii="仿宋" w:hAnsi="仿宋" w:eastAsia="仿宋" w:cs="Calibri"/>
                <w:color w:val="000000"/>
                <w:sz w:val="28"/>
                <w:szCs w:val="28"/>
                <w:highlight w:val="none"/>
              </w:rPr>
              <w:t>2025</w:t>
            </w:r>
          </w:p>
        </w:tc>
        <w:tc>
          <w:tcPr>
            <w:tcW w:w="2694"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Calibri"/>
                <w:color w:val="000000"/>
                <w:sz w:val="28"/>
                <w:szCs w:val="28"/>
                <w:highlight w:val="none"/>
              </w:rPr>
            </w:pPr>
            <w:r>
              <w:rPr>
                <w:rFonts w:ascii="仿宋" w:hAnsi="仿宋" w:eastAsia="仿宋" w:cs="Calibri"/>
                <w:color w:val="000000"/>
                <w:sz w:val="28"/>
                <w:szCs w:val="28"/>
                <w:highlight w:val="none"/>
              </w:rPr>
              <w:t>334.2</w:t>
            </w:r>
            <w:r>
              <w:rPr>
                <w:rFonts w:hint="eastAsia" w:ascii="仿宋" w:hAnsi="仿宋" w:eastAsia="仿宋" w:cs="Calibri"/>
                <w:color w:val="000000"/>
                <w:sz w:val="28"/>
                <w:szCs w:val="28"/>
                <w:highlight w:val="none"/>
              </w:rPr>
              <w:t>5</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Calibri"/>
                <w:color w:val="000000"/>
                <w:sz w:val="28"/>
                <w:szCs w:val="28"/>
                <w:highlight w:val="none"/>
              </w:rPr>
            </w:pPr>
            <w:r>
              <w:rPr>
                <w:rFonts w:ascii="仿宋" w:hAnsi="仿宋" w:eastAsia="仿宋" w:cs="Calibri"/>
                <w:color w:val="000000"/>
                <w:sz w:val="28"/>
                <w:szCs w:val="28"/>
                <w:highlight w:val="none"/>
              </w:rPr>
              <w:t>7.52</w:t>
            </w:r>
          </w:p>
        </w:tc>
        <w:tc>
          <w:tcPr>
            <w:tcW w:w="2866"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Calibri"/>
                <w:color w:val="000000"/>
                <w:sz w:val="28"/>
                <w:szCs w:val="28"/>
                <w:highlight w:val="none"/>
              </w:rPr>
            </w:pPr>
            <w:r>
              <w:rPr>
                <w:rFonts w:ascii="仿宋" w:hAnsi="仿宋" w:eastAsia="仿宋" w:cs="Calibri"/>
                <w:color w:val="000000"/>
                <w:sz w:val="28"/>
                <w:szCs w:val="28"/>
                <w:highlight w:val="none"/>
              </w:rPr>
              <w:t>380.1</w:t>
            </w:r>
            <w:r>
              <w:rPr>
                <w:rFonts w:hint="eastAsia" w:ascii="仿宋" w:hAnsi="仿宋" w:eastAsia="仿宋" w:cs="Calibri"/>
                <w:color w:val="000000"/>
                <w:sz w:val="28"/>
                <w:szCs w:val="28"/>
                <w:highlight w:val="none"/>
              </w:rPr>
              <w:t>8</w:t>
            </w:r>
          </w:p>
        </w:tc>
        <w:tc>
          <w:tcPr>
            <w:tcW w:w="1700" w:type="dxa"/>
            <w:tcBorders>
              <w:top w:val="nil"/>
              <w:left w:val="nil"/>
              <w:bottom w:val="single" w:color="auto" w:sz="4" w:space="0"/>
              <w:right w:val="single" w:color="auto" w:sz="4" w:space="0"/>
            </w:tcBorders>
            <w:shd w:val="clear" w:color="auto" w:fill="auto"/>
            <w:noWrap/>
            <w:vAlign w:val="bottom"/>
          </w:tcPr>
          <w:p>
            <w:pPr>
              <w:spacing w:after="0" w:line="240" w:lineRule="auto"/>
              <w:jc w:val="center"/>
              <w:rPr>
                <w:rFonts w:ascii="仿宋" w:hAnsi="仿宋" w:eastAsia="仿宋" w:cs="Calibri"/>
                <w:color w:val="000000"/>
                <w:sz w:val="28"/>
                <w:szCs w:val="28"/>
                <w:highlight w:val="none"/>
              </w:rPr>
            </w:pPr>
            <w:r>
              <w:rPr>
                <w:rFonts w:ascii="仿宋" w:hAnsi="仿宋" w:eastAsia="仿宋" w:cs="Calibri"/>
                <w:color w:val="000000"/>
                <w:sz w:val="28"/>
                <w:szCs w:val="28"/>
                <w:highlight w:val="none"/>
              </w:rPr>
              <w:t>12.83</w:t>
            </w:r>
          </w:p>
        </w:tc>
      </w:tr>
    </w:tbl>
    <w:p>
      <w:pPr>
        <w:rPr>
          <w:highlight w:val="none"/>
        </w:rPr>
      </w:pPr>
    </w:p>
    <w:p/>
    <w:p>
      <w:pPr>
        <w:pStyle w:val="30"/>
        <w:spacing w:before="120" w:after="120" w:line="360" w:lineRule="auto"/>
        <w:ind w:left="0" w:firstLine="567"/>
        <w:jc w:val="both"/>
        <w:rPr>
          <w:rFonts w:ascii="仿宋_GB2312" w:hAnsi="仿宋_GB2312" w:eastAsia="仿宋_GB2312" w:cs="仿宋_GB2312"/>
          <w:color w:val="000000" w:themeColor="text1"/>
          <w:sz w:val="32"/>
          <w:szCs w:val="32"/>
          <w:highlight w:val="none"/>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020</w:t>
      </w:r>
      <w:r>
        <w:rPr>
          <w:rFonts w:ascii="仿宋_GB2312" w:hAnsi="仿宋_GB2312" w:eastAsia="仿宋_GB2312" w:cs="仿宋_GB2312"/>
          <w:color w:val="000000" w:themeColor="text1"/>
          <w:sz w:val="32"/>
          <w:szCs w:val="32"/>
          <w14:textFill>
            <w14:solidFill>
              <w14:schemeClr w14:val="tx1"/>
            </w14:solidFill>
          </w14:textFill>
        </w:rPr>
        <w:t>年人口数据源自海口市统计局，人口测算公式</w:t>
      </w:r>
      <w:r>
        <w:rPr>
          <w:rFonts w:hint="eastAsia" w:ascii="仿宋_GB2312" w:hAnsi="仿宋_GB2312" w:eastAsia="仿宋_GB2312" w:cs="仿宋_GB2312"/>
          <w:color w:val="000000" w:themeColor="text1"/>
          <w:sz w:val="32"/>
          <w:szCs w:val="32"/>
          <w14:textFill>
            <w14:solidFill>
              <w14:schemeClr w14:val="tx1"/>
            </w14:solidFill>
          </w14:textFill>
        </w:rPr>
        <w:t>为</w:t>
      </w:r>
      <w:r>
        <w:rPr>
          <w:rFonts w:ascii="仿宋_GB2312" w:hAnsi="仿宋_GB2312" w:eastAsia="仿宋_GB2312" w:cs="仿宋_GB2312"/>
          <w:color w:val="000000" w:themeColor="text1"/>
          <w:sz w:val="32"/>
          <w:szCs w:val="32"/>
          <w14:textFill>
            <w14:solidFill>
              <w14:schemeClr w14:val="tx1"/>
            </w14:solidFill>
          </w14:textFill>
        </w:rPr>
        <w:t xml:space="preserve"> </w:t>
      </w:r>
      <m:oMath>
        <m:sSub>
          <m:sSubPr>
            <m:ctrlPr>
              <w:rPr>
                <w:rFonts w:ascii="Cambria Math" w:hAnsi="Cambria Math" w:eastAsia="仿宋_GB2312" w:cs="仿宋_GB2312"/>
                <w:color w:val="000000" w:themeColor="text1"/>
                <w:sz w:val="32"/>
                <w:szCs w:val="32"/>
                <w14:textFill>
                  <w14:solidFill>
                    <w14:schemeClr w14:val="tx1"/>
                  </w14:solidFill>
                </w14:textFill>
              </w:rPr>
            </m:ctrlPr>
          </m:sSubPr>
          <m:e>
            <m:r>
              <w:rPr>
                <w:rFonts w:ascii="Cambria Math" w:hAnsi="Cambria Math" w:eastAsia="仿宋_GB2312" w:cs="仿宋_GB2312"/>
                <w:color w:val="000000" w:themeColor="text1"/>
                <w:sz w:val="32"/>
                <w:szCs w:val="32"/>
                <w14:textFill>
                  <w14:solidFill>
                    <w14:schemeClr w14:val="tx1"/>
                  </w14:solidFill>
                </w14:textFill>
              </w:rPr>
              <m:t>P</m:t>
            </m:r>
            <m:ctrlPr>
              <w:rPr>
                <w:rFonts w:ascii="Cambria Math" w:hAnsi="Cambria Math" w:eastAsia="仿宋_GB2312" w:cs="仿宋_GB2312"/>
                <w:color w:val="000000" w:themeColor="text1"/>
                <w:sz w:val="32"/>
                <w:szCs w:val="32"/>
                <w14:textFill>
                  <w14:solidFill>
                    <w14:schemeClr w14:val="tx1"/>
                  </w14:solidFill>
                </w14:textFill>
              </w:rPr>
            </m:ctrlPr>
          </m:e>
          <m:sub>
            <m:r>
              <w:rPr>
                <w:rFonts w:ascii="Cambria Math" w:hAnsi="Cambria Math" w:eastAsia="仿宋_GB2312" w:cs="仿宋_GB2312"/>
                <w:color w:val="000000" w:themeColor="text1"/>
                <w:sz w:val="32"/>
                <w:szCs w:val="32"/>
                <w14:textFill>
                  <w14:solidFill>
                    <w14:schemeClr w14:val="tx1"/>
                  </w14:solidFill>
                </w14:textFill>
              </w:rPr>
              <m:t>n</m:t>
            </m:r>
            <m:ctrlPr>
              <w:rPr>
                <w:rFonts w:ascii="Cambria Math" w:hAnsi="Cambria Math" w:eastAsia="仿宋_GB2312" w:cs="仿宋_GB2312"/>
                <w:color w:val="000000" w:themeColor="text1"/>
                <w:sz w:val="32"/>
                <w:szCs w:val="32"/>
                <w14:textFill>
                  <w14:solidFill>
                    <w14:schemeClr w14:val="tx1"/>
                  </w14:solidFill>
                </w14:textFill>
              </w:rPr>
            </m:ctrlPr>
          </m:sub>
        </m:sSub>
        <m:r>
          <m:rPr>
            <m:sty m:val="p"/>
          </m:rPr>
          <w:rPr>
            <w:rFonts w:ascii="Cambria Math" w:hAnsi="Cambria Math" w:eastAsia="仿宋_GB2312" w:cs="仿宋_GB2312"/>
            <w:color w:val="000000" w:themeColor="text1"/>
            <w:sz w:val="32"/>
            <w:szCs w:val="32"/>
            <w14:textFill>
              <w14:solidFill>
                <w14:schemeClr w14:val="tx1"/>
              </w14:solidFill>
            </w14:textFill>
          </w:rPr>
          <m:t>=</m:t>
        </m:r>
        <m:sSub>
          <m:sSubPr>
            <m:ctrlPr>
              <w:rPr>
                <w:rFonts w:ascii="Cambria Math" w:hAnsi="Cambria Math" w:eastAsia="仿宋_GB2312" w:cs="仿宋_GB2312"/>
                <w:color w:val="000000" w:themeColor="text1"/>
                <w:sz w:val="32"/>
                <w:szCs w:val="32"/>
                <w14:textFill>
                  <w14:solidFill>
                    <w14:schemeClr w14:val="tx1"/>
                  </w14:solidFill>
                </w14:textFill>
              </w:rPr>
            </m:ctrlPr>
          </m:sSubPr>
          <m:e>
            <m:r>
              <w:rPr>
                <w:rFonts w:ascii="Cambria Math" w:hAnsi="Cambria Math" w:eastAsia="仿宋_GB2312" w:cs="仿宋_GB2312"/>
                <w:color w:val="000000" w:themeColor="text1"/>
                <w:sz w:val="32"/>
                <w:szCs w:val="32"/>
                <w14:textFill>
                  <w14:solidFill>
                    <w14:schemeClr w14:val="tx1"/>
                  </w14:solidFill>
                </w14:textFill>
              </w:rPr>
              <m:t>P</m:t>
            </m:r>
            <m:ctrlPr>
              <w:rPr>
                <w:rFonts w:ascii="Cambria Math" w:hAnsi="Cambria Math" w:eastAsia="仿宋_GB2312" w:cs="仿宋_GB2312"/>
                <w:color w:val="000000" w:themeColor="text1"/>
                <w:sz w:val="32"/>
                <w:szCs w:val="32"/>
                <w14:textFill>
                  <w14:solidFill>
                    <w14:schemeClr w14:val="tx1"/>
                  </w14:solidFill>
                </w14:textFill>
              </w:rPr>
            </m:ctrlPr>
          </m:e>
          <m:sub>
            <m:r>
              <m:rPr>
                <m:sty m:val="p"/>
              </m:rPr>
              <w:rPr>
                <w:rFonts w:ascii="Cambria Math" w:hAnsi="Cambria Math" w:eastAsia="仿宋_GB2312" w:cs="仿宋_GB2312"/>
                <w:color w:val="000000" w:themeColor="text1"/>
                <w:sz w:val="32"/>
                <w:szCs w:val="32"/>
                <w14:textFill>
                  <w14:solidFill>
                    <w14:schemeClr w14:val="tx1"/>
                  </w14:solidFill>
                </w14:textFill>
              </w:rPr>
              <m:t>0</m:t>
            </m:r>
            <m:ctrlPr>
              <w:rPr>
                <w:rFonts w:ascii="Cambria Math" w:hAnsi="Cambria Math" w:eastAsia="仿宋_GB2312" w:cs="仿宋_GB2312"/>
                <w:color w:val="000000" w:themeColor="text1"/>
                <w:sz w:val="32"/>
                <w:szCs w:val="32"/>
                <w14:textFill>
                  <w14:solidFill>
                    <w14:schemeClr w14:val="tx1"/>
                  </w14:solidFill>
                </w14:textFill>
              </w:rPr>
            </m:ctrlPr>
          </m:sub>
        </m:sSub>
        <m:sSup>
          <m:sSupPr>
            <m:ctrlPr>
              <w:rPr>
                <w:rFonts w:ascii="Cambria Math" w:hAnsi="Cambria Math" w:eastAsia="仿宋_GB2312" w:cs="仿宋_GB2312"/>
                <w:color w:val="000000" w:themeColor="text1"/>
                <w:sz w:val="32"/>
                <w:szCs w:val="32"/>
                <w14:textFill>
                  <w14:solidFill>
                    <w14:schemeClr w14:val="tx1"/>
                  </w14:solidFill>
                </w14:textFill>
              </w:rPr>
            </m:ctrlPr>
          </m:sSupPr>
          <m:e>
            <m:r>
              <m:rPr>
                <m:sty m:val="p"/>
              </m:rPr>
              <w:rPr>
                <w:rFonts w:ascii="Cambria Math" w:hAnsi="Cambria Math" w:eastAsia="仿宋_GB2312" w:cs="仿宋_GB2312"/>
                <w:color w:val="000000" w:themeColor="text1"/>
                <w:sz w:val="32"/>
                <w:szCs w:val="32"/>
                <w14:textFill>
                  <w14:solidFill>
                    <w14:schemeClr w14:val="tx1"/>
                  </w14:solidFill>
                </w14:textFill>
              </w:rPr>
              <m:t>[1+</m:t>
            </m:r>
            <m:d>
              <m:dPr>
                <m:ctrlPr>
                  <w:rPr>
                    <w:rFonts w:ascii="Cambria Math" w:hAnsi="Cambria Math" w:eastAsia="仿宋_GB2312" w:cs="仿宋_GB2312"/>
                    <w:color w:val="000000" w:themeColor="text1"/>
                    <w:sz w:val="32"/>
                    <w:szCs w:val="32"/>
                    <w14:textFill>
                      <w14:solidFill>
                        <w14:schemeClr w14:val="tx1"/>
                      </w14:solidFill>
                    </w14:textFill>
                  </w:rPr>
                </m:ctrlPr>
              </m:dPr>
              <m:e>
                <m:r>
                  <w:rPr>
                    <w:rFonts w:ascii="Cambria Math" w:hAnsi="Cambria Math" w:eastAsia="仿宋_GB2312" w:cs="仿宋_GB2312"/>
                    <w:color w:val="000000" w:themeColor="text1"/>
                    <w:sz w:val="32"/>
                    <w:szCs w:val="32"/>
                    <w14:textFill>
                      <w14:solidFill>
                        <w14:schemeClr w14:val="tx1"/>
                      </w14:solidFill>
                    </w14:textFill>
                  </w:rPr>
                  <m:t>m</m:t>
                </m:r>
                <m:r>
                  <m:rPr>
                    <m:sty m:val="p"/>
                  </m:rPr>
                  <w:rPr>
                    <w:rFonts w:ascii="Cambria Math" w:hAnsi="Cambria Math" w:eastAsia="仿宋_GB2312" w:cs="仿宋_GB2312"/>
                    <w:color w:val="000000" w:themeColor="text1"/>
                    <w:sz w:val="32"/>
                    <w:szCs w:val="32"/>
                    <w14:textFill>
                      <w14:solidFill>
                        <w14:schemeClr w14:val="tx1"/>
                      </w14:solidFill>
                    </w14:textFill>
                  </w:rPr>
                  <m:t>+</m:t>
                </m:r>
                <m:r>
                  <w:rPr>
                    <w:rFonts w:ascii="Cambria Math" w:hAnsi="Cambria Math" w:eastAsia="仿宋_GB2312" w:cs="仿宋_GB2312"/>
                    <w:color w:val="000000" w:themeColor="text1"/>
                    <w:sz w:val="32"/>
                    <w:szCs w:val="32"/>
                    <w14:textFill>
                      <w14:solidFill>
                        <w14:schemeClr w14:val="tx1"/>
                      </w14:solidFill>
                    </w14:textFill>
                  </w:rPr>
                  <m:t>k</m:t>
                </m:r>
                <m:ctrlPr>
                  <w:rPr>
                    <w:rFonts w:ascii="Cambria Math" w:hAnsi="Cambria Math" w:eastAsia="仿宋_GB2312" w:cs="仿宋_GB2312"/>
                    <w:color w:val="000000" w:themeColor="text1"/>
                    <w:sz w:val="32"/>
                    <w:szCs w:val="32"/>
                    <w14:textFill>
                      <w14:solidFill>
                        <w14:schemeClr w14:val="tx1"/>
                      </w14:solidFill>
                    </w14:textFill>
                  </w:rPr>
                </m:ctrlPr>
              </m:e>
            </m:d>
            <m:r>
              <m:rPr>
                <m:sty m:val="p"/>
              </m:rPr>
              <w:rPr>
                <w:rFonts w:ascii="Cambria Math" w:hAnsi="Cambria Math" w:eastAsia="仿宋_GB2312" w:cs="仿宋_GB2312"/>
                <w:color w:val="000000" w:themeColor="text1"/>
                <w:sz w:val="32"/>
                <w:szCs w:val="32"/>
                <w14:textFill>
                  <w14:solidFill>
                    <w14:schemeClr w14:val="tx1"/>
                  </w14:solidFill>
                </w14:textFill>
              </w:rPr>
              <m:t>]</m:t>
            </m:r>
            <m:ctrlPr>
              <w:rPr>
                <w:rFonts w:ascii="Cambria Math" w:hAnsi="Cambria Math" w:eastAsia="仿宋_GB2312" w:cs="仿宋_GB2312"/>
                <w:color w:val="000000" w:themeColor="text1"/>
                <w:sz w:val="32"/>
                <w:szCs w:val="32"/>
                <w14:textFill>
                  <w14:solidFill>
                    <w14:schemeClr w14:val="tx1"/>
                  </w14:solidFill>
                </w14:textFill>
              </w:rPr>
            </m:ctrlPr>
          </m:e>
          <m:sup>
            <m:r>
              <w:rPr>
                <w:rFonts w:ascii="Cambria Math" w:hAnsi="Cambria Math" w:eastAsia="仿宋_GB2312" w:cs="仿宋_GB2312"/>
                <w:color w:val="000000" w:themeColor="text1"/>
                <w:sz w:val="32"/>
                <w:szCs w:val="32"/>
                <w14:textFill>
                  <w14:solidFill>
                    <w14:schemeClr w14:val="tx1"/>
                  </w14:solidFill>
                </w14:textFill>
              </w:rPr>
              <m:t>n</m:t>
            </m:r>
            <m:ctrlPr>
              <w:rPr>
                <w:rFonts w:ascii="Cambria Math" w:hAnsi="Cambria Math" w:eastAsia="仿宋_GB2312" w:cs="仿宋_GB2312"/>
                <w:color w:val="000000" w:themeColor="text1"/>
                <w:sz w:val="32"/>
                <w:szCs w:val="32"/>
                <w14:textFill>
                  <w14:solidFill>
                    <w14:schemeClr w14:val="tx1"/>
                  </w14:solidFill>
                </w14:textFill>
              </w:rPr>
            </m:ctrlPr>
          </m:sup>
        </m:sSup>
      </m:oMath>
      <w:r>
        <w:rPr>
          <w:rFonts w:hint="eastAsia" w:ascii="仿宋_GB2312" w:hAnsi="仿宋_GB2312" w:eastAsia="仿宋_GB2312" w:cs="仿宋_GB2312"/>
          <w:color w:val="000000" w:themeColor="text1"/>
          <w:sz w:val="32"/>
          <w:szCs w:val="32"/>
          <w14:textFill>
            <w14:solidFill>
              <w14:schemeClr w14:val="tx1"/>
            </w14:solidFill>
          </w14:textFill>
        </w:rPr>
        <w:t>，其中：</w:t>
      </w:r>
      <m:oMath>
        <m:sSub>
          <m:sSubPr>
            <m:ctrlPr>
              <w:rPr>
                <w:rFonts w:ascii="Cambria Math" w:hAnsi="Cambria Math" w:eastAsia="仿宋_GB2312" w:cs="仿宋_GB2312"/>
                <w:color w:val="000000" w:themeColor="text1"/>
                <w:sz w:val="32"/>
                <w:szCs w:val="32"/>
                <w14:textFill>
                  <w14:solidFill>
                    <w14:schemeClr w14:val="tx1"/>
                  </w14:solidFill>
                </w14:textFill>
              </w:rPr>
            </m:ctrlPr>
          </m:sSubPr>
          <m:e>
            <m:r>
              <w:rPr>
                <w:rFonts w:ascii="Cambria Math" w:hAnsi="Cambria Math" w:eastAsia="仿宋_GB2312" w:cs="仿宋_GB2312"/>
                <w:color w:val="000000" w:themeColor="text1"/>
                <w:sz w:val="32"/>
                <w:szCs w:val="32"/>
                <w14:textFill>
                  <w14:solidFill>
                    <w14:schemeClr w14:val="tx1"/>
                  </w14:solidFill>
                </w14:textFill>
              </w:rPr>
              <m:t>P</m:t>
            </m:r>
            <m:ctrlPr>
              <w:rPr>
                <w:rFonts w:ascii="Cambria Math" w:hAnsi="Cambria Math" w:eastAsia="仿宋_GB2312" w:cs="仿宋_GB2312"/>
                <w:color w:val="000000" w:themeColor="text1"/>
                <w:sz w:val="32"/>
                <w:szCs w:val="32"/>
                <w14:textFill>
                  <w14:solidFill>
                    <w14:schemeClr w14:val="tx1"/>
                  </w14:solidFill>
                </w14:textFill>
              </w:rPr>
            </m:ctrlPr>
          </m:e>
          <m:sub>
            <m:r>
              <m:rPr>
                <m:sty m:val="p"/>
              </m:rPr>
              <w:rPr>
                <w:rFonts w:ascii="Cambria Math" w:hAnsi="Cambria Math" w:eastAsia="仿宋_GB2312" w:cs="仿宋_GB2312"/>
                <w:color w:val="000000" w:themeColor="text1"/>
                <w:sz w:val="32"/>
                <w:szCs w:val="32"/>
                <w14:textFill>
                  <w14:solidFill>
                    <w14:schemeClr w14:val="tx1"/>
                  </w14:solidFill>
                </w14:textFill>
              </w:rPr>
              <m:t>0</m:t>
            </m:r>
            <m:ctrlPr>
              <w:rPr>
                <w:rFonts w:ascii="Cambria Math" w:hAnsi="Cambria Math" w:eastAsia="仿宋_GB2312" w:cs="仿宋_GB2312"/>
                <w:color w:val="000000" w:themeColor="text1"/>
                <w:sz w:val="32"/>
                <w:szCs w:val="32"/>
                <w14:textFill>
                  <w14:solidFill>
                    <w14:schemeClr w14:val="tx1"/>
                  </w14:solidFill>
                </w14:textFill>
              </w:rPr>
            </m:ctrlPr>
          </m:sub>
        </m:sSub>
      </m:oMath>
      <w:r>
        <w:rPr>
          <w:rFonts w:hint="eastAsia" w:ascii="仿宋_GB2312" w:hAnsi="仿宋_GB2312" w:eastAsia="仿宋_GB2312" w:cs="仿宋_GB2312"/>
          <w:color w:val="000000" w:themeColor="text1"/>
          <w:sz w:val="32"/>
          <w:szCs w:val="32"/>
          <w14:textFill>
            <w14:solidFill>
              <w14:schemeClr w14:val="tx1"/>
            </w14:solidFill>
          </w14:textFill>
        </w:rPr>
        <w:t>为规划基年总人口数，</w:t>
      </w:r>
      <m:oMath>
        <m:sSub>
          <m:sSubPr>
            <m:ctrlPr>
              <w:rPr>
                <w:rFonts w:ascii="Cambria Math" w:hAnsi="Cambria Math" w:eastAsia="仿宋_GB2312" w:cs="仿宋_GB2312"/>
                <w:color w:val="000000" w:themeColor="text1"/>
                <w:sz w:val="32"/>
                <w:szCs w:val="32"/>
                <w14:textFill>
                  <w14:solidFill>
                    <w14:schemeClr w14:val="tx1"/>
                  </w14:solidFill>
                </w14:textFill>
              </w:rPr>
            </m:ctrlPr>
          </m:sSubPr>
          <m:e>
            <m:r>
              <w:rPr>
                <w:rFonts w:ascii="Cambria Math" w:hAnsi="Cambria Math" w:eastAsia="仿宋_GB2312" w:cs="仿宋_GB2312"/>
                <w:color w:val="000000" w:themeColor="text1"/>
                <w:sz w:val="32"/>
                <w:szCs w:val="32"/>
                <w14:textFill>
                  <w14:solidFill>
                    <w14:schemeClr w14:val="tx1"/>
                  </w14:solidFill>
                </w14:textFill>
              </w:rPr>
              <m:t>P</m:t>
            </m:r>
            <m:ctrlPr>
              <w:rPr>
                <w:rFonts w:ascii="Cambria Math" w:hAnsi="Cambria Math" w:eastAsia="仿宋_GB2312" w:cs="仿宋_GB2312"/>
                <w:color w:val="000000" w:themeColor="text1"/>
                <w:sz w:val="32"/>
                <w:szCs w:val="32"/>
                <w14:textFill>
                  <w14:solidFill>
                    <w14:schemeClr w14:val="tx1"/>
                  </w14:solidFill>
                </w14:textFill>
              </w:rPr>
            </m:ctrlPr>
          </m:e>
          <m:sub>
            <m:r>
              <w:rPr>
                <w:rFonts w:ascii="Cambria Math" w:hAnsi="Cambria Math" w:eastAsia="仿宋_GB2312" w:cs="仿宋_GB2312"/>
                <w:color w:val="000000" w:themeColor="text1"/>
                <w:sz w:val="32"/>
                <w:szCs w:val="32"/>
                <w14:textFill>
                  <w14:solidFill>
                    <w14:schemeClr w14:val="tx1"/>
                  </w14:solidFill>
                </w14:textFill>
              </w:rPr>
              <m:t>n</m:t>
            </m:r>
            <m:ctrlPr>
              <w:rPr>
                <w:rFonts w:ascii="Cambria Math" w:hAnsi="Cambria Math" w:eastAsia="仿宋_GB2312" w:cs="仿宋_GB2312"/>
                <w:color w:val="000000" w:themeColor="text1"/>
                <w:sz w:val="32"/>
                <w:szCs w:val="32"/>
                <w14:textFill>
                  <w14:solidFill>
                    <w14:schemeClr w14:val="tx1"/>
                  </w14:solidFill>
                </w14:textFill>
              </w:rPr>
            </m:ctrlPr>
          </m:sub>
        </m:sSub>
      </m:oMath>
      <w:r>
        <w:rPr>
          <w:rFonts w:hint="eastAsia" w:ascii="仿宋_GB2312" w:hAnsi="仿宋_GB2312" w:eastAsia="仿宋_GB2312" w:cs="仿宋_GB2312"/>
          <w:color w:val="000000" w:themeColor="text1"/>
          <w:sz w:val="32"/>
          <w:szCs w:val="32"/>
          <w14:textFill>
            <w14:solidFill>
              <w14:schemeClr w14:val="tx1"/>
            </w14:solidFill>
          </w14:textFill>
        </w:rPr>
        <w:t>为规划期末总人口数，</w:t>
      </w:r>
      <w:r>
        <w:rPr>
          <w:rFonts w:ascii="仿宋_GB2312" w:hAnsi="仿宋_GB2312" w:eastAsia="仿宋_GB2312" w:cs="仿宋_GB2312"/>
          <w:color w:val="000000" w:themeColor="text1"/>
          <w:sz w:val="32"/>
          <w:szCs w:val="32"/>
          <w14:textFill>
            <w14:solidFill>
              <w14:schemeClr w14:val="tx1"/>
            </w14:solidFill>
          </w14:textFill>
        </w:rPr>
        <w:t>n为规划期末距规划基年的年数，m为自然增长率，k为机械增长率，（人口机械增长率=人口迁入率-人口迁出率）。</w:t>
      </w:r>
      <w:r>
        <w:rPr>
          <w:rFonts w:hint="eastAsia" w:ascii="仿宋_GB2312" w:hAnsi="仿宋_GB2312" w:eastAsia="仿宋_GB2312" w:cs="仿宋_GB2312"/>
          <w:color w:val="000000" w:themeColor="text1"/>
          <w:sz w:val="32"/>
          <w:szCs w:val="32"/>
          <w:highlight w:val="none"/>
          <w14:textFill>
            <w14:solidFill>
              <w14:schemeClr w14:val="tx1"/>
            </w14:solidFill>
          </w14:textFill>
        </w:rPr>
        <w:t>人口自然增长率源自海口市统计局历年年鉴及第七次人口普查最新数据，人口机械增长率根据人才引进情况进行预估。到</w:t>
      </w:r>
      <w:r>
        <w:rPr>
          <w:rFonts w:ascii="仿宋_GB2312" w:hAnsi="仿宋_GB2312" w:eastAsia="仿宋_GB2312" w:cs="仿宋_GB2312"/>
          <w:color w:val="000000" w:themeColor="text1"/>
          <w:sz w:val="32"/>
          <w:szCs w:val="32"/>
          <w:highlight w:val="none"/>
          <w14:textFill>
            <w14:solidFill>
              <w14:schemeClr w14:val="tx1"/>
            </w14:solidFill>
          </w14:textFill>
        </w:rPr>
        <w:t>2025年，海口市学前教育学龄人口约为11.34-11.91</w:t>
      </w:r>
      <w:r>
        <w:rPr>
          <w:rFonts w:hint="eastAsia" w:ascii="仿宋_GB2312" w:hAnsi="仿宋_GB2312" w:eastAsia="仿宋_GB2312" w:cs="仿宋_GB2312"/>
          <w:color w:val="000000" w:themeColor="text1"/>
          <w:sz w:val="32"/>
          <w:szCs w:val="32"/>
          <w:highlight w:val="none"/>
          <w14:textFill>
            <w14:solidFill>
              <w14:schemeClr w14:val="tx1"/>
            </w14:solidFill>
          </w14:textFill>
        </w:rPr>
        <w:t>万人。根据毛入园率目标（</w:t>
      </w:r>
      <w:r>
        <w:rPr>
          <w:rFonts w:ascii="仿宋_GB2312" w:hAnsi="仿宋_GB2312" w:eastAsia="仿宋_GB2312" w:cs="仿宋_GB2312"/>
          <w:color w:val="000000" w:themeColor="text1"/>
          <w:sz w:val="32"/>
          <w:szCs w:val="32"/>
          <w:highlight w:val="none"/>
          <w14:textFill>
            <w14:solidFill>
              <w14:schemeClr w14:val="tx1"/>
            </w14:solidFill>
          </w14:textFill>
        </w:rPr>
        <w:t>9</w:t>
      </w:r>
      <w:r>
        <w:rPr>
          <w:rFonts w:ascii="仿宋_GB2312" w:hAnsi="仿宋_GB2312" w:eastAsia="仿宋_GB2312" w:cs="仿宋_GB2312"/>
          <w:color w:val="000000" w:themeColor="text1"/>
          <w:sz w:val="32"/>
          <w:szCs w:val="32"/>
          <w:highlight w:val="none"/>
          <w:lang w:val="en-US"/>
          <w14:textFill>
            <w14:solidFill>
              <w14:schemeClr w14:val="tx1"/>
            </w14:solidFill>
          </w14:textFill>
        </w:rPr>
        <w:t>3</w:t>
      </w:r>
      <w:r>
        <w:rPr>
          <w:rFonts w:ascii="仿宋_GB2312" w:hAnsi="仿宋_GB2312" w:eastAsia="仿宋_GB2312" w:cs="仿宋_GB2312"/>
          <w:color w:val="000000" w:themeColor="text1"/>
          <w:sz w:val="32"/>
          <w:szCs w:val="32"/>
          <w:highlight w:val="none"/>
          <w14:textFill>
            <w14:solidFill>
              <w14:schemeClr w14:val="tx1"/>
            </w14:solidFill>
          </w14:textFill>
        </w:rPr>
        <w:t>%），到2025年，</w:t>
      </w:r>
      <w:r>
        <w:rPr>
          <w:rFonts w:hint="eastAsia" w:ascii="仿宋_GB2312" w:hAnsi="仿宋_GB2312" w:eastAsia="仿宋_GB2312" w:cs="仿宋_GB2312"/>
          <w:color w:val="000000" w:themeColor="text1"/>
          <w:sz w:val="32"/>
          <w:szCs w:val="32"/>
          <w:highlight w:val="none"/>
          <w14:textFill>
            <w14:solidFill>
              <w14:schemeClr w14:val="tx1"/>
            </w14:solidFill>
          </w14:textFill>
        </w:rPr>
        <w:t>海口市学前教育学位需求约为</w:t>
      </w:r>
      <w:r>
        <w:rPr>
          <w:rFonts w:ascii="仿宋_GB2312" w:hAnsi="仿宋_GB2312" w:eastAsia="仿宋_GB2312" w:cs="仿宋_GB2312"/>
          <w:color w:val="000000" w:themeColor="text1"/>
          <w:sz w:val="32"/>
          <w:szCs w:val="32"/>
          <w:highlight w:val="none"/>
          <w14:textFill>
            <w14:solidFill>
              <w14:schemeClr w14:val="tx1"/>
            </w14:solidFill>
          </w14:textFill>
        </w:rPr>
        <w:t>10.</w:t>
      </w:r>
      <w:r>
        <w:rPr>
          <w:rFonts w:hint="eastAsia" w:ascii="仿宋_GB2312" w:hAnsi="仿宋_GB2312" w:eastAsia="仿宋_GB2312" w:cs="仿宋_GB2312"/>
          <w:color w:val="000000" w:themeColor="text1"/>
          <w:sz w:val="32"/>
          <w:szCs w:val="32"/>
          <w:highlight w:val="none"/>
          <w14:textFill>
            <w14:solidFill>
              <w14:schemeClr w14:val="tx1"/>
            </w14:solidFill>
          </w14:textFill>
        </w:rPr>
        <w:t>55-11.08万个。根据公办幼儿园发展目标，到2025年，公办幼儿园将提供学位约6.24-6.55万个，实现公办幼儿园学位进一步提高。</w:t>
      </w:r>
    </w:p>
    <w:p>
      <w:pPr>
        <w:pStyle w:val="53"/>
        <w:numPr>
          <w:ilvl w:val="0"/>
          <w:numId w:val="6"/>
        </w:numPr>
        <w:ind w:left="567" w:firstLine="0"/>
      </w:pPr>
      <w:r>
        <w:rPr>
          <w:rFonts w:hint="eastAsia"/>
        </w:rPr>
        <w:t>进一步规范办园行为</w:t>
      </w:r>
    </w:p>
    <w:p>
      <w:pPr>
        <w:pStyle w:val="30"/>
        <w:spacing w:before="120" w:after="120" w:line="360" w:lineRule="auto"/>
        <w:ind w:left="0"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严格按照办园标准端正办园思想、规范办园行为，杜绝学前教育小学化现象，全面提升保育和学前教育质量。通过公办园、优秀民办园集团化办园、连锁办园等方式形成以中心园为依托的业务管理模式，不断完善学前教育质量管理体系与标准，加强学前教育课程建设。同时，建立健全学前教育专家指导队伍，完善学前教育教研指导体系和质量评估体系。</w:t>
      </w:r>
    </w:p>
    <w:p>
      <w:pPr>
        <w:pStyle w:val="30"/>
        <w:spacing w:before="120" w:after="120" w:line="360" w:lineRule="auto"/>
        <w:ind w:left="0" w:firstLine="567"/>
        <w:jc w:val="both"/>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加强学前教育日常管理工作，在全市范围内开展幼儿园消防、饮食、校车、建筑安全等专项整治工作，为幼儿安全保驾护航；加强学前教育安全消防宣传，定期对教职工进行安全消防体系培训，并进行监督检查；全面加强校园内部安全管理，落实安全保卫工作主体责任，加强幼儿园“三防建设”；开展幼儿园办园行为督导评估工作，督促办园主体提升软硬件建设标准，加强安全卫生、保育保教、内部管理等方面工作；建立规范的、有特色的幼儿教育教学体系。</w:t>
      </w:r>
    </w:p>
    <w:p>
      <w:pPr>
        <w:pStyle w:val="53"/>
        <w:numPr>
          <w:ilvl w:val="0"/>
          <w:numId w:val="6"/>
        </w:numPr>
        <w:ind w:left="567" w:firstLine="0"/>
      </w:pPr>
      <w:r>
        <w:rPr>
          <w:rFonts w:hint="eastAsia"/>
        </w:rPr>
        <w:t>持续加强学前教育师资队伍建设</w:t>
      </w:r>
    </w:p>
    <w:p>
      <w:pPr>
        <w:pStyle w:val="30"/>
        <w:spacing w:before="120" w:after="120" w:line="360" w:lineRule="auto"/>
        <w:ind w:left="0"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严格按照幼儿园教职工配置标准，争取教师队伍事业编制总量与公办园教师需求总量实现配比协调，并在市、区教育事业单位编制总量内合理调配，落实每班“两教一保”要求。开展对幼儿园教师的全员培训和日常工作“以老带新”，在集团化办园、连锁办园中，中心园经验丰富的老师带分园新老师，农村幼儿园教师入职前在市区幼儿园进行培训，提高教师专业水平。</w:t>
      </w:r>
    </w:p>
    <w:p>
      <w:pPr>
        <w:pStyle w:val="53"/>
        <w:numPr>
          <w:ilvl w:val="0"/>
          <w:numId w:val="6"/>
        </w:numPr>
        <w:ind w:left="567" w:firstLine="0"/>
      </w:pPr>
      <w:r>
        <w:rPr>
          <w:rFonts w:hint="eastAsia"/>
        </w:rPr>
        <w:t>继续建设国际特色幼儿园</w:t>
      </w:r>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按照开放创新的发展原则，充分发挥海口市作为对外开放先导区、现代服务产业园区、高新技术产业园区的聚集地的优势，积极引入优质国际教育集团在海南设立幼儿园，引进境外优质学前教育资源，规划设立高水平中外合作幼儿园项目，满足外籍人员子女入幼需求。到2025年，海口市将建立2-3所国际化幼儿园，满足群众对学前教育的多种需求，支撑国际教育创新岛建设，为建设海南自贸港提供重要保障。</w:t>
      </w:r>
    </w:p>
    <w:p>
      <w:pPr>
        <w:pStyle w:val="49"/>
      </w:pPr>
      <w:bookmarkStart w:id="27" w:name="_Toc77102108"/>
      <w:r>
        <w:rPr>
          <w:rFonts w:hint="eastAsia"/>
        </w:rPr>
        <w:t>（二）义务教育</w:t>
      </w:r>
      <w:bookmarkEnd w:id="27"/>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义务教育是教育工作的重中之重，是国家必须保障的公益性事业，是必须优先发展的基本公共事业。党的十九大明确提出建设教育强国是中华民族伟大复兴的基础工程，必须把教育事业放在优先位置，推动城乡义务教育一体化发展，高度重视农村教育，努力让每个孩子都能享有公平而有质量的教育。海口市将坚决贯彻党的教育方针，落实教育优先发展战略，解决中小学教育发展不平衡、不充分的问题，让广大人民群众实现“上好学”，让海口市义务教育的发展与全面建成小康社会、中国特色自贸港建设保持同步，让海口市义务教育水平达到国内中等偏上的水平。</w:t>
      </w:r>
    </w:p>
    <w:p>
      <w:pPr>
        <w:pStyle w:val="53"/>
        <w:numPr>
          <w:ilvl w:val="0"/>
          <w:numId w:val="7"/>
        </w:numPr>
        <w:ind w:left="567" w:firstLine="0"/>
      </w:pPr>
      <w:r>
        <w:rPr>
          <w:rFonts w:hint="eastAsia"/>
        </w:rPr>
        <w:t>加大教育资源投入，调整教育资源供给布局</w:t>
      </w:r>
    </w:p>
    <w:p>
      <w:pPr>
        <w:pStyle w:val="30"/>
        <w:spacing w:before="120" w:after="120" w:line="360" w:lineRule="auto"/>
        <w:ind w:left="0" w:firstLine="567"/>
        <w:jc w:val="both"/>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根据上述人口测算，预计2025年海口市人口规模将达到334.25-380.18万人。在人口不断增长的背景下，义务教育入学学位应给予必要保障。根据海口市统计局2018-2019年人口出生率及义务教育巩固率100%测算，预计2025年义务教育小学适龄人数约为5.55万人，应提供小学入学学位约5.5万个。根据海口市统计局公布的2019年普通小学招生人数及义务教育巩固率100%测算，2025年义务教育初中适龄入学人数约为4.09万人，应提供初中入学学位约4.09万个。从在校生数量来看，海口市统计局显示2019年海口市小学生人数为21.88万人，初中生人数为8.82万人，占海口市常住人口比例分别为9.4%、3.79%。根据此比例测算，预计</w:t>
      </w:r>
      <w:r>
        <w:rPr>
          <w:rFonts w:ascii="仿宋_GB2312" w:hAnsi="仿宋_GB2312" w:eastAsia="仿宋_GB2312" w:cs="仿宋_GB2312"/>
          <w:color w:val="000000" w:themeColor="text1"/>
          <w:sz w:val="32"/>
          <w:szCs w:val="32"/>
          <w:highlight w:val="none"/>
          <w14:textFill>
            <w14:solidFill>
              <w14:schemeClr w14:val="tx1"/>
            </w14:solidFill>
          </w14:textFill>
        </w:rPr>
        <w:t>2025年</w:t>
      </w:r>
      <w:r>
        <w:rPr>
          <w:rFonts w:hint="eastAsia" w:ascii="仿宋_GB2312" w:hAnsi="仿宋_GB2312" w:eastAsia="仿宋_GB2312" w:cs="仿宋_GB2312"/>
          <w:color w:val="000000" w:themeColor="text1"/>
          <w:sz w:val="32"/>
          <w:szCs w:val="32"/>
          <w:highlight w:val="none"/>
          <w14:textFill>
            <w14:solidFill>
              <w14:schemeClr w14:val="tx1"/>
            </w14:solidFill>
          </w14:textFill>
        </w:rPr>
        <w:t>小学生人数为31.42-35.73万人，初中生人数为12.66-14.4万人。</w:t>
      </w:r>
    </w:p>
    <w:p>
      <w:pPr>
        <w:pStyle w:val="30"/>
        <w:spacing w:before="120" w:after="120" w:line="360" w:lineRule="auto"/>
        <w:ind w:left="0"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按照适龄人口的预测结果，增加教育资源投入，在资源配置上对中小学教育给予重点倾斜和保障，着力解决义务教育阶段教育财力和用地保障不足、硬件设施建设之后、学位供给结构失衡等问题，实现中小学教育科学、公平发展。在教育资源投入上对学位缺口进行时间和空间的精准定位，科学调整教育资源空间布局，实现教育资源配置精准均衡。</w:t>
      </w:r>
      <w:r>
        <w:rPr>
          <w:rFonts w:hint="eastAsia" w:ascii="仿宋_GB2312" w:hAnsi="仿宋_GB2312" w:eastAsia="仿宋_GB2312" w:cs="仿宋_GB2312"/>
          <w:strike w:val="0"/>
          <w:color w:val="000000" w:themeColor="text1"/>
          <w:sz w:val="32"/>
          <w:szCs w:val="32"/>
          <w:highlight w:val="none"/>
          <w14:textFill>
            <w14:solidFill>
              <w14:schemeClr w14:val="tx1"/>
            </w14:solidFill>
          </w14:textFill>
        </w:rPr>
        <w:t>在城区教育用地规划上，采用高中阶段学校外迁，将地块用于开办中小学的方式，有效解决城市挤的问题。</w:t>
      </w:r>
      <w:r>
        <w:rPr>
          <w:rFonts w:hint="eastAsia" w:ascii="仿宋_GB2312" w:hAnsi="仿宋_GB2312" w:eastAsia="仿宋_GB2312" w:cs="仿宋_GB2312"/>
          <w:color w:val="000000" w:themeColor="text1"/>
          <w:sz w:val="32"/>
          <w:szCs w:val="32"/>
          <w14:textFill>
            <w14:solidFill>
              <w14:schemeClr w14:val="tx1"/>
            </w14:solidFill>
          </w14:textFill>
        </w:rPr>
        <w:t>根据中小学校教育发展布局专项规划，落实学校具体规模和位置，并与国民经济和社会发展规划相衔接。到2025年，海口市将拥有232所完全小学，61所初中，66所九年一贯制学校，17所普通高中，13所完全中学，2所十二年一贯制学校和72个农村教学点。</w:t>
      </w:r>
    </w:p>
    <w:p>
      <w:pPr>
        <w:pStyle w:val="53"/>
        <w:numPr>
          <w:ilvl w:val="0"/>
          <w:numId w:val="7"/>
        </w:numPr>
        <w:ind w:left="567" w:firstLine="0"/>
      </w:pPr>
      <w:r>
        <w:rPr>
          <w:rFonts w:hint="eastAsia"/>
        </w:rPr>
        <w:t>巩固公办学校质量，推动中小学教育优质均衡发展</w:t>
      </w:r>
    </w:p>
    <w:p>
      <w:pPr>
        <w:pStyle w:val="30"/>
        <w:spacing w:before="120" w:after="120" w:line="360" w:lineRule="auto"/>
        <w:ind w:left="0"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到2025年，教育发展环境达到国内先进水平，教育现代化取得重要进展，“大班额”彻底消除，教师队伍专业化水平进一步提升。九年义务教育巩固率达到95.5%，小学初中标准班额比例达到100%。省级规范化学校比例达到20%，省一级学校市县（区）覆盖率达到</w:t>
      </w:r>
      <w:r>
        <w:rPr>
          <w:rFonts w:ascii="仿宋_GB2312" w:hAnsi="仿宋_GB2312" w:eastAsia="仿宋_GB2312" w:cs="仿宋_GB2312"/>
          <w:color w:val="000000" w:themeColor="text1"/>
          <w:sz w:val="32"/>
          <w:szCs w:val="32"/>
          <w14:textFill>
            <w14:solidFill>
              <w14:schemeClr w14:val="tx1"/>
            </w14:solidFill>
          </w14:textFill>
        </w:rPr>
        <w:t>100</w:t>
      </w:r>
      <w:r>
        <w:rPr>
          <w:rFonts w:hint="eastAsia" w:ascii="仿宋_GB2312" w:hAnsi="仿宋_GB2312" w:eastAsia="仿宋_GB2312" w:cs="仿宋_GB2312"/>
          <w:color w:val="000000" w:themeColor="text1"/>
          <w:sz w:val="32"/>
          <w:szCs w:val="32"/>
          <w14:textFill>
            <w14:solidFill>
              <w14:schemeClr w14:val="tx1"/>
            </w14:solidFill>
          </w14:textFill>
        </w:rPr>
        <w:t>%，优质教育均衡县（区）比例达到优质均衡</w:t>
      </w:r>
      <w:r>
        <w:rPr>
          <w:rFonts w:hint="eastAsia" w:ascii="仿宋_GB2312" w:hAnsi="仿宋_GB2312" w:eastAsia="仿宋_GB2312" w:cs="仿宋_GB2312"/>
          <w:color w:val="000000" w:themeColor="text1"/>
          <w:sz w:val="32"/>
          <w:szCs w:val="32"/>
          <w:lang w:val="en-US"/>
          <w14:textFill>
            <w14:solidFill>
              <w14:schemeClr w14:val="tx1"/>
            </w14:solidFill>
          </w14:textFill>
        </w:rPr>
        <w:t>25</w:t>
      </w:r>
      <w:r>
        <w:rPr>
          <w:rFonts w:hint="eastAsia" w:ascii="仿宋_GB2312" w:hAnsi="仿宋_GB2312" w:eastAsia="仿宋_GB2312" w:cs="仿宋_GB2312"/>
          <w:color w:val="000000" w:themeColor="text1"/>
          <w:sz w:val="32"/>
          <w:szCs w:val="32"/>
          <w14:textFill>
            <w14:solidFill>
              <w14:schemeClr w14:val="tx1"/>
            </w14:solidFill>
          </w14:textFill>
        </w:rPr>
        <w:t>%，实现信息化教学与学习基本覆盖、数字校园建设基本覆盖、智慧教育与智慧学习广泛应用。</w:t>
      </w:r>
    </w:p>
    <w:p>
      <w:pPr>
        <w:pStyle w:val="30"/>
        <w:spacing w:before="120" w:after="120" w:line="360" w:lineRule="auto"/>
        <w:ind w:left="0"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按照科学统筹、先建后撤、稳步推进的原则，在城镇根据大班额分布和城区建设适度超前布局中小学，在交通相对便利、公共服务较成熟的乡镇新建改扩建一批寄宿制中心小学和九年一贯制学校，在位置偏远、交通不便的乡村山区保留并办好小规模学校。</w:t>
      </w:r>
    </w:p>
    <w:p>
      <w:pPr>
        <w:pStyle w:val="30"/>
        <w:spacing w:before="120" w:after="120" w:line="360" w:lineRule="auto"/>
        <w:ind w:left="0"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完善重点区域中小学校配套。优化城市新区、城乡结合区域、新建大中型住宅小区及安置区等区域的中小学校布局，优先在小学、初中学位供需矛盾突出的区域新建、改扩建一批学校。完善重点产业园区学校配套建设，优先在吸纳就业人口较多的对外开放先导区、现代服务产业园区、高新技术产业园区布局中小学校及国际化学校。</w:t>
      </w:r>
    </w:p>
    <w:p>
      <w:pPr>
        <w:pStyle w:val="30"/>
        <w:spacing w:before="120" w:after="120" w:line="360" w:lineRule="auto"/>
        <w:ind w:left="0"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推动义务教育由基本均衡向优质均衡发展。在巩固县域义务教育基本均衡发展成果基础上，推动义务教育优质均衡发展，继续开展“一市（县）两校一园”优质教育资源引进工程，实现市县全覆盖。加快推广集团化办学新模式，组建以区域内优质学校为核心学校，薄弱学校和新建学校为成员学校的教育集团，通过“核心学校+农村学校”、“核心学校+薄弱学校”、“核心学校+新建学校”等模式实现义务教育集团化办学，有效提升新建学校、薄弱学校、农村学校的办学水平和质量。</w:t>
      </w:r>
    </w:p>
    <w:p>
      <w:pPr>
        <w:pStyle w:val="53"/>
        <w:numPr>
          <w:ilvl w:val="0"/>
          <w:numId w:val="7"/>
        </w:numPr>
        <w:ind w:left="567" w:firstLine="0"/>
      </w:pPr>
      <w:r>
        <w:rPr>
          <w:rFonts w:hint="eastAsia"/>
        </w:rPr>
        <w:t>市（区）管校聘、绩效工资改革创新等多种举措加强师资队伍建设</w:t>
      </w:r>
    </w:p>
    <w:p>
      <w:pPr>
        <w:pStyle w:val="30"/>
        <w:spacing w:before="120" w:after="120" w:line="360" w:lineRule="auto"/>
        <w:ind w:left="0"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全面实施中小学教师“市（区）管校聘”管理，强化区域统筹，落实学校用人自主权。主要任务一是优化中小学教职工编制管理，盘活编制存量，增加教师编制总量。二是建立中小学教职工岗位设置区域统筹机制，完善中小学教职工岗位设置管理。三是完善符合中小学教师职业特点的招聘办法，增强教师招聘工作的科学性和精准度。</w:t>
      </w:r>
    </w:p>
    <w:p>
      <w:pPr>
        <w:pStyle w:val="30"/>
        <w:spacing w:before="120" w:after="120" w:line="360" w:lineRule="auto"/>
        <w:ind w:left="0"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通过绩效工资改革等举措将教师绩效与教学质量、教学成果挂钩，建设学校校长管理和激励教师工作的机制，从而提升教师队伍工作积极性和教师在职业发展过程中自我提升的动力。</w:t>
      </w:r>
    </w:p>
    <w:p>
      <w:pPr>
        <w:pStyle w:val="30"/>
        <w:spacing w:before="120" w:after="120" w:line="360" w:lineRule="auto"/>
        <w:ind w:left="0"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打造高素质专业化创新型教师队伍。重视补充优秀教师、继续实施“好校长、好教师”引进工程、国家特岗教师计划、省级乡村教师定向培养计划等。扩大农村特岗教师计划、乡村学校右级公费师范生定向培养项目实施规模，采取定期交流、岗位竞聘交流、校际帮扶交流等方式推动城镇学校向乡村学校、优质学校向薄弱学校、中心学校向农村小学和教学点交流轮岗。加强中小学校长和教师与国内外教育发达地区中小学校的学习交流培训，拓宽教师出国研修、培训渠道，增加教师国际视野。提升应用国内外先进教育理念和教学方式方法的能力。</w:t>
      </w:r>
    </w:p>
    <w:p>
      <w:pPr>
        <w:pStyle w:val="53"/>
        <w:numPr>
          <w:ilvl w:val="0"/>
          <w:numId w:val="7"/>
        </w:numPr>
        <w:ind w:left="567" w:firstLine="0"/>
      </w:pPr>
      <w:r>
        <w:rPr>
          <w:rFonts w:hint="eastAsia"/>
        </w:rPr>
        <w:t>服务学生全面发展、增强综合素质</w:t>
      </w:r>
    </w:p>
    <w:p>
      <w:pPr>
        <w:pStyle w:val="30"/>
        <w:spacing w:before="120" w:after="120" w:line="360" w:lineRule="auto"/>
        <w:ind w:left="0"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坚持育人为本、德育为先。全面落实立德树人根本任务，培养德智体美全面发展的社会主义建设者和接班人。</w:t>
      </w:r>
    </w:p>
    <w:p>
      <w:pPr>
        <w:spacing w:before="120" w:after="120" w:line="360" w:lineRule="auto"/>
        <w:jc w:val="both"/>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drawing>
          <wp:inline distT="0" distB="0" distL="0" distR="0">
            <wp:extent cx="6181725" cy="295656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181725" cy="2956560"/>
                    </a:xfrm>
                    <a:prstGeom prst="rect">
                      <a:avLst/>
                    </a:prstGeom>
                    <a:noFill/>
                  </pic:spPr>
                </pic:pic>
              </a:graphicData>
            </a:graphic>
          </wp:inline>
        </w:drawing>
      </w:r>
    </w:p>
    <w:p>
      <w:pPr>
        <w:pStyle w:val="30"/>
        <w:spacing w:before="120" w:after="120" w:line="360" w:lineRule="auto"/>
        <w:ind w:left="0"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构建德育一体化体系。完善培育和践行社会主义核心价值观的长效机制，系统推进中华优秀传统文化教育，开展青少年法治教育、感恩励志教育和生态文明教育，推广国际理解教育, 培养青少年学生中华民族独特精神气质、现代生活方式和文明习惯。深化德育课程改革,推进学科德育，促进德育与智育、体育、美育有机融合。加强民族团结教育，增强中华民族共同体意识。创新网络思想政治教育机制，加强网络文化阵地建设。提升德育工作队伍专业水平，提升教师人文素养和师德水平。加强大中小学德育工作保障体系建设。</w:t>
      </w:r>
    </w:p>
    <w:p>
      <w:pPr>
        <w:pStyle w:val="30"/>
        <w:spacing w:before="120" w:after="120" w:line="360" w:lineRule="auto"/>
        <w:ind w:left="0"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提升学生体育素养与健康水平。实施“小学体育兴趣化、初中体育多样化、高中体育专项化、大学体育个性化”体育课程改革。提升中小学生每天一小时校园体育活动质量，让每个学生至少掌握两项运动技能。实施青少年校园足球振兴行动，构建以足球为引领的校园运动队联，提高重点运动项目后备人才培养质量。探索建立综合性的学生体育素养评价指标体系。整合社会体育场馆等公共服务资源，构建青少年学生课外锻炼的公共服务体系。完善学生心理健康教育服务体系,促进学生身心健康发展。</w:t>
      </w:r>
    </w:p>
    <w:p>
      <w:pPr>
        <w:pStyle w:val="30"/>
        <w:spacing w:before="120" w:after="120" w:line="360" w:lineRule="auto"/>
        <w:ind w:left="0"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提升学生艺术和科学素养。实施校园文化创新传承发展和青少年艺术教育彩虹行动计划，加强学校艺术课程改革,探索建立学生艺术素养评价机制，形成课堂教学、课外活动和校园文化三位一体的艺术教育发展机制，让每个学生至少具有一项艺术爱好、掌握一项艺术技能。实施文教结合三年行动计划，推进社会艺术场馆、专业院团与学校艺术教育的有效结合，建设一批高水平学生艺术团与艺术联盟，依托丰富的社会文化艺术资源提升学校美育水平。加强学校科普教育，开展系列科普教育实践活动。完善名师带教培养科技后备人才制度，探索实施青少年科学创新实践工作站项目，集中储备青少年科学创新人才。</w:t>
      </w:r>
    </w:p>
    <w:p>
      <w:pPr>
        <w:pStyle w:val="30"/>
        <w:spacing w:before="120" w:after="120" w:line="360" w:lineRule="auto"/>
        <w:ind w:left="0"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构建校内外育人共同体。建立以政府为主导、学校为主体，企业、社区、家庭全面参与的育人体系。促进校外教育与校内教育教学、学生素质拓展的有机对接。强化家庭育人基本责任，健全完善家庭教育指导服务体系。优化志愿服务体系,完善海口市学生社会实践信息记录电子平台，健全社会实践学分制,推进学生职业生涯教育。建设市、区、学校三级安全中心，完善公共安全教育课程体系,建设安全教育实验区，构建公共消防安全教育实训体系，健全多方参与的公共安全教育与管理机制。</w:t>
      </w:r>
    </w:p>
    <w:p>
      <w:pPr>
        <w:spacing w:before="120" w:after="120" w:line="360" w:lineRule="auto"/>
        <w:jc w:val="both"/>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drawing>
          <wp:inline distT="0" distB="0" distL="0" distR="0">
            <wp:extent cx="6193790" cy="296926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93790" cy="2969260"/>
                    </a:xfrm>
                    <a:prstGeom prst="rect">
                      <a:avLst/>
                    </a:prstGeom>
                    <a:noFill/>
                  </pic:spPr>
                </pic:pic>
              </a:graphicData>
            </a:graphic>
          </wp:inline>
        </w:drawing>
      </w:r>
    </w:p>
    <w:p>
      <w:pPr>
        <w:pStyle w:val="49"/>
      </w:pPr>
      <w:bookmarkStart w:id="28" w:name="_Toc77102109"/>
      <w:r>
        <w:rPr>
          <w:rFonts w:hint="eastAsia"/>
        </w:rPr>
        <w:t>（三）普通高中</w:t>
      </w:r>
      <w:bookmarkEnd w:id="28"/>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普通高中教育是国民教育体系的重要组成部分，在人才培养中起着承上启下的关键作用。办好普通高中教育，对于巩固义务教育普及成果、增强高等教育发展后劲、进一步提高国民整体素质具有重要意义。目前，海口市普通高中学位数量无法满足人民群众要求，普通高中办学质量有待提高。到</w:t>
      </w:r>
      <w:r>
        <w:rPr>
          <w:rFonts w:ascii="仿宋_GB2312" w:hAnsi="仿宋_GB2312" w:eastAsia="仿宋_GB2312" w:cs="仿宋_GB2312"/>
          <w:color w:val="000000" w:themeColor="text1"/>
          <w:sz w:val="32"/>
          <w:szCs w:val="32"/>
          <w14:textFill>
            <w14:solidFill>
              <w14:schemeClr w14:val="tx1"/>
            </w14:solidFill>
          </w14:textFill>
        </w:rPr>
        <w:t>2025年，普通高中学位供给基本满足海口市人民群众的需要，全面而有特色的普通高中教育教学改革基本完成，科学的教育评价制度基本建立，师资和办学条件得到有效保障，普通高中多样化特色化的格局基本形成。</w:t>
      </w:r>
    </w:p>
    <w:p>
      <w:pPr>
        <w:pStyle w:val="53"/>
        <w:numPr>
          <w:ilvl w:val="0"/>
          <w:numId w:val="8"/>
        </w:numPr>
        <w:ind w:left="567" w:firstLine="0"/>
      </w:pPr>
      <w:r>
        <w:rPr>
          <w:rFonts w:hint="eastAsia"/>
        </w:rPr>
        <w:t>扩展海口市普通高中教育资源</w:t>
      </w:r>
    </w:p>
    <w:p>
      <w:pPr>
        <w:pStyle w:val="30"/>
        <w:spacing w:before="120" w:after="120" w:line="360" w:lineRule="auto"/>
        <w:ind w:left="0"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到2025年，海口市将通过新建普通高中或进入优质普通高中的举措大幅提升普通高中数量，其中含</w:t>
      </w:r>
      <w:r>
        <w:rPr>
          <w:rFonts w:ascii="仿宋_GB2312" w:hAnsi="仿宋_GB2312"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所省一级甲等高中学校，扩大普通高中教育优质资源覆盖范围，使普通高中学生和中职学生的招生比例达到1：1，高中阶段教育毛入学率达到94%。</w:t>
      </w:r>
    </w:p>
    <w:p>
      <w:pPr>
        <w:pStyle w:val="30"/>
        <w:spacing w:before="120" w:after="120" w:line="360" w:lineRule="auto"/>
        <w:ind w:left="0"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继续引入境外优质资源开办国际高中，到2025年，海口市重点国际学校将新增</w:t>
      </w:r>
      <w:r>
        <w:rPr>
          <w:rFonts w:ascii="仿宋_GB2312" w:hAnsi="仿宋_GB2312"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w:t>
      </w:r>
      <w:r>
        <w:rPr>
          <w:rFonts w:ascii="仿宋_GB2312" w:hAnsi="仿宋_GB2312" w:eastAsia="仿宋_GB2312" w:cs="仿宋_GB2312"/>
          <w:color w:val="000000" w:themeColor="text1"/>
          <w:sz w:val="32"/>
          <w:szCs w:val="32"/>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所，其中</w:t>
      </w:r>
      <w:r>
        <w:rPr>
          <w:rFonts w:ascii="仿宋_GB2312" w:hAnsi="仿宋_GB2312"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所为高中学校。</w:t>
      </w:r>
    </w:p>
    <w:p>
      <w:pPr>
        <w:pStyle w:val="53"/>
        <w:numPr>
          <w:ilvl w:val="0"/>
          <w:numId w:val="8"/>
        </w:numPr>
        <w:ind w:left="567" w:firstLine="0"/>
      </w:pPr>
      <w:r>
        <w:rPr>
          <w:rFonts w:hint="eastAsia"/>
        </w:rPr>
        <w:t>展现新课程新教材改革国家级示范作用</w:t>
      </w:r>
    </w:p>
    <w:p>
      <w:pPr>
        <w:pStyle w:val="30"/>
        <w:spacing w:before="120" w:after="120" w:line="360" w:lineRule="auto"/>
        <w:ind w:left="0"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作为新课程改革首批入选的新课程新教材实施国家级示范区建设城市，海口市积极探索如何贯彻落实立德树人根本任务、提升基础教育质量、推动普通高中育人方式改革。</w:t>
      </w:r>
    </w:p>
    <w:p>
      <w:pPr>
        <w:pStyle w:val="30"/>
        <w:spacing w:before="120" w:after="120" w:line="360" w:lineRule="auto"/>
        <w:ind w:left="0"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十四五”时期海口市将继续承担全省积极探索普通高中新一轮课程改革实施工作先行区重任，在区域整体推进高考综合改革方案的制定、指导学校进行课程建设与管理、学生选课走班管理、选课走班制下的“分层教学”实践、深化以发展学生核心素养为导向的课堂教学改革和区域整体推进“生涯规划”课等方面进行探索。</w:t>
      </w:r>
    </w:p>
    <w:p>
      <w:pPr>
        <w:pStyle w:val="30"/>
        <w:spacing w:before="120" w:after="120" w:line="360" w:lineRule="auto"/>
        <w:ind w:left="0"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有序推进选课走班。适应普通高中新课程改革和高考综合改革，依据学科人才培养规律、高校招生专业选考科目要求和学生兴趣特长，因地制宜、有序实施选课走班，满足学生不同发展需要。指导学校制订选课走班指南，开发课程安排信息管理系统，加大对班级编排、学生管理、教师调配、教学设施配置等方面的统筹力度，提高教学管理水平和资源使用效率，构建规范有序、科学高效的选课走班运行机制。加强走班教学班级管理和集体主义教育，强化任课教师责任，充分发挥学生组织自主管理作用。</w:t>
      </w:r>
    </w:p>
    <w:p>
      <w:pPr>
        <w:pStyle w:val="30"/>
        <w:spacing w:before="120" w:after="120" w:line="360" w:lineRule="auto"/>
        <w:ind w:left="0"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深化课堂教学改革。按照教学计划循序渐进开展教学，提高课堂教学效率，培养学生学习能力，促进学生系统掌握各学科基础知识、基本技能、基本方法，培养适应终身发展和社会发展需要的正确价值观念、必备品格和关键能力。积极探索基于情境、问题导向的互动式、启发式、探究式、体验式等课堂教学，注重加强课题研究、项目设计、研究性学习等跨学科综合性教学，认真开展验证性实验和探究性实验教学。提高作业设计质量，精心设计基础性作业，适当增加探究性、实践性、综合性作业。积极推广应用优秀教学成果，推进信息技术与教育教学深度融合，加强教学研究和指导。</w:t>
      </w:r>
    </w:p>
    <w:p>
      <w:pPr>
        <w:pStyle w:val="53"/>
        <w:numPr>
          <w:ilvl w:val="0"/>
          <w:numId w:val="8"/>
        </w:numPr>
        <w:ind w:left="567" w:firstLine="0"/>
      </w:pPr>
      <w:r>
        <w:rPr>
          <w:rFonts w:hint="eastAsia"/>
        </w:rPr>
        <w:t>促进学生全面发展</w:t>
      </w:r>
    </w:p>
    <w:p>
      <w:pPr>
        <w:pStyle w:val="30"/>
        <w:spacing w:before="120" w:after="120" w:line="360" w:lineRule="auto"/>
        <w:ind w:left="0"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突出德育时代性。坚持把立德树人融入思想道德教育、文化知识教育、社会实践教育各环节。深入开展习近平新时代中国特色社会主义思想教育，强化理想信念教育，引导学生树立正确的国家观、历史观、民族观、文化观，切实增强“四个自信”，厚植爱党爱国爱人民思想情怀，立志听党话、跟党走，树立为中华民族伟大复兴而勤奋学习的远大志向。积极培育和践行社会主义核心价值观，深入开展中华优秀传统文化教育，加强学生品德教育，帮助学生养成良好个人品德和社会公德。要结合实际制定德育工作实施方案，突出思想政治课关键地位，充分发挥各学科德育功能，积极开展党团组织活动和主题教育、仪式教育、实践教育等活动。</w:t>
      </w:r>
    </w:p>
    <w:p>
      <w:pPr>
        <w:pStyle w:val="30"/>
        <w:spacing w:before="120" w:after="120" w:line="360" w:lineRule="auto"/>
        <w:ind w:left="0"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强化综合素质培养。改进科学文化教育，统筹课堂学习和课外实践，强化实验操作，建设书香校园，培养学生创新思维和实践能力，提升人文素养和科学素养。强化体育锻炼，修订学生体质健康标准及评价办法，丰富运动项目和校园体育活动，培养体育兴趣和运动习惯，使学生掌握1—3项体育技能。加强美育工作，积极开展舞蹈、戏剧、影视与数字媒体艺术等活动，培养学生艺术感知、创意表达、审美能力和文化理解素养。重视劳动教育，制定劳动教育指导纲要，统筹开展好生产性、服务性和创造性劳动，使学生养成劳动习惯、掌握劳动本领、树立热爱劳动的品质，从而实现学生思想道德素质、科学文化素质和健康素质明显提高，各类人才服务国家、服务人民和参与国际竞争能力显著增强。</w:t>
      </w:r>
    </w:p>
    <w:p>
      <w:pPr>
        <w:pStyle w:val="30"/>
        <w:spacing w:before="120" w:after="120" w:line="360" w:lineRule="auto"/>
        <w:ind w:left="0"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拓宽综合实践渠道。健全社会教育资源有效开发配置的政策体系，因地制宜打造学生社会实践大课堂，建设一批稳定的学生社会实践基地。充分发挥爱国主义、优秀传统文化、军事国防等教育基地，以及高等学校、科研机构、现代企业、美丽乡村、国家公园等方面资源的重要育人作用，按规定免费或优惠向学生开放图书馆、博物馆、科技馆、文化馆、纪念馆、展览馆、运动场等公共设施。定期组织学生深入社区、医院、福利院、社会救助机构等开展志愿服务，走进军营、深入农村开展体验活动。完善综合素质评价。把综合素质评价作为发展素质教育、转变育人方式的重要制度，强化其对促进学生全面发展的重要导向作用。强化对学生爱国情怀、遵纪守法、创新思维、体质达标、审美能力、劳动实践等方面的评价。要从城乡学校实际出发，完善综合素质评价实施办法，以省为单位建立学生综合素质评价信息管理系统，统一评价档案样式，建立健全信息确认、公示投诉、申诉复议、记录审核等监督保障与诚信责任追究制度。要客观真实、简洁有效记录学生突出表现，对在学生综合素质评价中造假的，要依规依纪严肃追究相关人员责任。</w:t>
      </w:r>
    </w:p>
    <w:p>
      <w:pPr>
        <w:pStyle w:val="53"/>
        <w:numPr>
          <w:ilvl w:val="0"/>
          <w:numId w:val="8"/>
        </w:numPr>
        <w:ind w:left="567" w:firstLine="0"/>
        <w:rPr>
          <w:highlight w:val="none"/>
        </w:rPr>
      </w:pPr>
      <w:r>
        <w:rPr>
          <w:rFonts w:hint="eastAsia"/>
          <w:highlight w:val="none"/>
        </w:rPr>
        <w:t>加强安全体系建设</w:t>
      </w:r>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全面加强和落实校内安全管理，按照“单位负责、政府监督”原则，健全校内安全工作领导小组，加强校内日常安全管理；进一步完善学校实体安全基础设施，进一步规范出入口控制、电子巡查等系统建设，推进校园安防系统与公安信息化应用服务体系的有效融合；全面提升应急处置能力，制定专门应急预案，开展常态应急演练活动；最重要的是，定期开展覆盖全校师生的安全培训，提高整体安全防范意识。</w:t>
      </w:r>
    </w:p>
    <w:p>
      <w:pPr>
        <w:pStyle w:val="49"/>
      </w:pPr>
      <w:bookmarkStart w:id="29" w:name="_Toc77102110"/>
      <w:r>
        <w:rPr>
          <w:rFonts w:hint="eastAsia"/>
        </w:rPr>
        <w:t>（四）职业教育</w:t>
      </w:r>
      <w:bookmarkEnd w:id="29"/>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职业教育为我国经济社会发展提供人才和智力支持。职业教育将通过全面建成新型现代的职业教育体系、对接科学发展趋势和市场需求、完善职业教育和培训体系、深化办学体制改革和育人机制改革提高企业办学和人才培养质量，以适应产业发展需求为导向培养高素质劳动者和技术技能人才。</w:t>
      </w:r>
    </w:p>
    <w:p>
      <w:pPr>
        <w:pStyle w:val="53"/>
        <w:numPr>
          <w:ilvl w:val="0"/>
          <w:numId w:val="9"/>
        </w:numPr>
        <w:ind w:left="567" w:firstLine="0"/>
      </w:pPr>
      <w:r>
        <w:rPr>
          <w:rFonts w:hint="eastAsia"/>
        </w:rPr>
        <w:t>形成与海南省功能定位和经济社会发展相适应的新型现代职业教育体系</w:t>
      </w:r>
    </w:p>
    <w:p>
      <w:pPr>
        <w:pStyle w:val="19"/>
        <w:spacing w:before="120" w:beforeAutospacing="0" w:after="120" w:afterAutospacing="0" w:line="360" w:lineRule="auto"/>
        <w:jc w:val="both"/>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drawing>
          <wp:inline distT="0" distB="0" distL="0" distR="0">
            <wp:extent cx="6279515" cy="299974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279515" cy="2999740"/>
                    </a:xfrm>
                    <a:prstGeom prst="rect">
                      <a:avLst/>
                    </a:prstGeom>
                    <a:noFill/>
                  </pic:spPr>
                </pic:pic>
              </a:graphicData>
            </a:graphic>
          </wp:inline>
        </w:drawing>
      </w:r>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聚焦自由贸易试验区和中国特色自由贸易港的重点发展产业和领域，推动职业学校学科专业设置与产业需求对接，重点布局重要领域人才培养。统筹资源新建职业教育学校，同时引入国际职业培训学校，在现有职业学校的基础上实现学校数量翻倍，稳步扩大职业教育规模，并保证职业教育建设并动态调整学科布局。通过工学交替、校企合作等产教融合模式逐步提高职业教育学校教学质量，形成与海南省功能定位和经济社会发展相适应、产教深度融合、学历教育与职业培训相结合的的现代职业教育体系。具体规划如下：</w:t>
      </w:r>
    </w:p>
    <w:tbl>
      <w:tblPr>
        <w:tblStyle w:val="42"/>
        <w:tblpPr w:leftFromText="180" w:rightFromText="180" w:vertAnchor="text" w:horzAnchor="margin" w:tblpX="108" w:tblpY="42"/>
        <w:tblW w:w="0" w:type="auto"/>
        <w:tblInd w:w="0" w:type="dxa"/>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Layout w:type="autofit"/>
        <w:tblCellMar>
          <w:top w:w="0" w:type="dxa"/>
          <w:left w:w="108" w:type="dxa"/>
          <w:bottom w:w="0" w:type="dxa"/>
          <w:right w:w="108" w:type="dxa"/>
        </w:tblCellMar>
      </w:tblPr>
      <w:tblGrid>
        <w:gridCol w:w="959"/>
        <w:gridCol w:w="4911"/>
        <w:gridCol w:w="1634"/>
        <w:gridCol w:w="2377"/>
      </w:tblGrid>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Ex>
        <w:trPr>
          <w:trHeight w:val="589" w:hRule="atLeast"/>
        </w:trPr>
        <w:tc>
          <w:tcPr>
            <w:tcW w:w="959" w:type="dxa"/>
            <w:tcBorders>
              <w:top w:val="single" w:color="4472C4" w:themeColor="accent5" w:sz="4" w:space="0"/>
              <w:left w:val="single" w:color="4472C4" w:themeColor="accent5" w:sz="4" w:space="0"/>
              <w:bottom w:val="single" w:color="4472C4" w:themeColor="accent5" w:sz="4" w:space="0"/>
              <w:right w:val="nil"/>
              <w:insideH w:val="single" w:sz="4" w:space="0"/>
              <w:insideV w:val="nil"/>
            </w:tcBorders>
            <w:shd w:val="clear" w:color="auto" w:fill="4472C4" w:themeFill="accent5"/>
            <w:vAlign w:val="center"/>
          </w:tcPr>
          <w:p>
            <w:pPr>
              <w:pStyle w:val="38"/>
              <w:spacing w:after="0" w:line="240" w:lineRule="auto"/>
              <w:jc w:val="center"/>
              <w:rPr>
                <w:rFonts w:ascii="仿宋" w:hAnsi="仿宋" w:eastAsia="仿宋"/>
                <w:b w:val="0"/>
                <w:bCs/>
                <w:color w:val="FFFFFF" w:themeColor="background1"/>
                <w:sz w:val="32"/>
                <w:szCs w:val="32"/>
                <w14:textFill>
                  <w14:solidFill>
                    <w14:schemeClr w14:val="bg1"/>
                  </w14:solidFill>
                </w14:textFill>
              </w:rPr>
            </w:pPr>
            <w:r>
              <w:rPr>
                <w:rFonts w:hint="eastAsia" w:ascii="仿宋" w:hAnsi="仿宋" w:eastAsia="仿宋"/>
                <w:b/>
                <w:bCs/>
                <w:color w:val="FFFFFF" w:themeColor="background1"/>
                <w:sz w:val="32"/>
                <w:szCs w:val="32"/>
                <w14:textFill>
                  <w14:solidFill>
                    <w14:schemeClr w14:val="bg1"/>
                  </w14:solidFill>
                </w14:textFill>
              </w:rPr>
              <w:t>序号</w:t>
            </w:r>
          </w:p>
        </w:tc>
        <w:tc>
          <w:tcPr>
            <w:tcW w:w="4911" w:type="dxa"/>
            <w:tcBorders>
              <w:top w:val="single" w:color="4472C4" w:themeColor="accent5" w:sz="4" w:space="0"/>
              <w:bottom w:val="single" w:color="4472C4" w:themeColor="accent5" w:sz="4" w:space="0"/>
              <w:right w:val="nil"/>
              <w:insideH w:val="single" w:sz="4" w:space="0"/>
              <w:insideV w:val="nil"/>
            </w:tcBorders>
            <w:shd w:val="clear" w:color="auto" w:fill="4472C4" w:themeFill="accent5"/>
            <w:vAlign w:val="center"/>
          </w:tcPr>
          <w:p>
            <w:pPr>
              <w:pStyle w:val="38"/>
              <w:spacing w:after="0" w:line="240" w:lineRule="auto"/>
              <w:jc w:val="center"/>
              <w:rPr>
                <w:rFonts w:ascii="仿宋" w:hAnsi="仿宋" w:eastAsia="仿宋"/>
                <w:b w:val="0"/>
                <w:bCs/>
                <w:color w:val="FFFFFF" w:themeColor="background1"/>
                <w:sz w:val="32"/>
                <w:szCs w:val="32"/>
                <w14:textFill>
                  <w14:solidFill>
                    <w14:schemeClr w14:val="bg1"/>
                  </w14:solidFill>
                </w14:textFill>
              </w:rPr>
            </w:pPr>
            <w:r>
              <w:rPr>
                <w:rFonts w:hint="eastAsia" w:ascii="仿宋" w:hAnsi="仿宋" w:eastAsia="仿宋"/>
                <w:b/>
                <w:bCs/>
                <w:color w:val="FFFFFF" w:themeColor="background1"/>
                <w:sz w:val="32"/>
                <w:szCs w:val="32"/>
                <w14:textFill>
                  <w14:solidFill>
                    <w14:schemeClr w14:val="bg1"/>
                  </w14:solidFill>
                </w14:textFill>
              </w:rPr>
              <w:t>项目名称</w:t>
            </w:r>
          </w:p>
        </w:tc>
        <w:tc>
          <w:tcPr>
            <w:tcW w:w="1634" w:type="dxa"/>
            <w:tcBorders>
              <w:top w:val="single" w:color="4472C4" w:themeColor="accent5" w:sz="4" w:space="0"/>
              <w:bottom w:val="single" w:color="4472C4" w:themeColor="accent5" w:sz="4" w:space="0"/>
              <w:right w:val="nil"/>
              <w:insideH w:val="single" w:sz="4" w:space="0"/>
              <w:insideV w:val="nil"/>
            </w:tcBorders>
            <w:shd w:val="clear" w:color="auto" w:fill="4472C4" w:themeFill="accent5"/>
            <w:vAlign w:val="center"/>
          </w:tcPr>
          <w:p>
            <w:pPr>
              <w:pStyle w:val="38"/>
              <w:spacing w:after="0" w:line="240" w:lineRule="auto"/>
              <w:jc w:val="center"/>
              <w:rPr>
                <w:rFonts w:ascii="仿宋" w:hAnsi="仿宋" w:eastAsia="仿宋"/>
                <w:b w:val="0"/>
                <w:bCs/>
                <w:color w:val="FFFFFF" w:themeColor="background1"/>
                <w:sz w:val="32"/>
                <w:szCs w:val="32"/>
                <w14:textFill>
                  <w14:solidFill>
                    <w14:schemeClr w14:val="bg1"/>
                  </w14:solidFill>
                </w14:textFill>
              </w:rPr>
            </w:pPr>
            <w:r>
              <w:rPr>
                <w:rFonts w:hint="eastAsia" w:ascii="仿宋" w:hAnsi="仿宋" w:eastAsia="仿宋"/>
                <w:b/>
                <w:bCs/>
                <w:color w:val="FFFFFF" w:themeColor="background1"/>
                <w:sz w:val="32"/>
                <w:szCs w:val="32"/>
                <w14:textFill>
                  <w14:solidFill>
                    <w14:schemeClr w14:val="bg1"/>
                  </w14:solidFill>
                </w14:textFill>
              </w:rPr>
              <w:t>建设性质</w:t>
            </w:r>
          </w:p>
        </w:tc>
        <w:tc>
          <w:tcPr>
            <w:tcW w:w="2377" w:type="dxa"/>
            <w:tcBorders>
              <w:top w:val="single" w:color="4472C4" w:themeColor="accent5" w:sz="4" w:space="0"/>
              <w:bottom w:val="single" w:color="4472C4" w:themeColor="accent5" w:sz="4" w:space="0"/>
              <w:right w:val="single" w:color="4472C4" w:themeColor="accent5" w:sz="4" w:space="0"/>
              <w:insideH w:val="single" w:sz="4" w:space="0"/>
              <w:insideV w:val="nil"/>
            </w:tcBorders>
            <w:shd w:val="clear" w:color="auto" w:fill="4472C4" w:themeFill="accent5"/>
            <w:vAlign w:val="center"/>
          </w:tcPr>
          <w:p>
            <w:pPr>
              <w:pStyle w:val="38"/>
              <w:spacing w:after="0" w:line="240" w:lineRule="auto"/>
              <w:jc w:val="center"/>
              <w:rPr>
                <w:rFonts w:ascii="仿宋" w:hAnsi="仿宋" w:eastAsia="仿宋"/>
                <w:b w:val="0"/>
                <w:bCs/>
                <w:color w:val="FFFFFF" w:themeColor="background1"/>
                <w:sz w:val="32"/>
                <w:szCs w:val="32"/>
                <w14:textFill>
                  <w14:solidFill>
                    <w14:schemeClr w14:val="bg1"/>
                  </w14:solidFill>
                </w14:textFill>
              </w:rPr>
            </w:pPr>
            <w:r>
              <w:rPr>
                <w:rFonts w:hint="eastAsia" w:ascii="仿宋" w:hAnsi="仿宋" w:eastAsia="仿宋"/>
                <w:b/>
                <w:bCs/>
                <w:color w:val="FFFFFF" w:themeColor="background1"/>
                <w:sz w:val="32"/>
                <w:szCs w:val="32"/>
                <w14:textFill>
                  <w14:solidFill>
                    <w14:schemeClr w14:val="bg1"/>
                  </w14:solidFill>
                </w14:textFill>
              </w:rPr>
              <w:t>辖区</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Ex>
        <w:trPr>
          <w:trHeight w:val="868" w:hRule="atLeast"/>
        </w:trPr>
        <w:tc>
          <w:tcPr>
            <w:tcW w:w="959" w:type="dxa"/>
            <w:shd w:val="clear" w:color="auto" w:fill="D9E2F3" w:themeFill="accent5" w:themeFillTint="33"/>
            <w:vAlign w:val="center"/>
          </w:tcPr>
          <w:p>
            <w:pPr>
              <w:pStyle w:val="38"/>
              <w:spacing w:after="0" w:line="240" w:lineRule="auto"/>
              <w:jc w:val="center"/>
              <w:rPr>
                <w:rFonts w:ascii="仿宋" w:hAnsi="仿宋" w:eastAsia="仿宋"/>
                <w:b/>
                <w:bCs/>
                <w:sz w:val="32"/>
                <w:szCs w:val="32"/>
              </w:rPr>
            </w:pPr>
            <w:r>
              <w:rPr>
                <w:rFonts w:ascii="仿宋" w:hAnsi="仿宋" w:eastAsia="仿宋"/>
                <w:b w:val="0"/>
                <w:bCs/>
                <w:sz w:val="32"/>
                <w:szCs w:val="32"/>
              </w:rPr>
              <w:t>1</w:t>
            </w:r>
          </w:p>
        </w:tc>
        <w:tc>
          <w:tcPr>
            <w:tcW w:w="4911" w:type="dxa"/>
            <w:shd w:val="clear" w:color="auto" w:fill="D9E2F3" w:themeFill="accent5" w:themeFillTint="33"/>
            <w:vAlign w:val="center"/>
          </w:tcPr>
          <w:p>
            <w:pPr>
              <w:pStyle w:val="38"/>
              <w:spacing w:after="0" w:line="240" w:lineRule="auto"/>
              <w:jc w:val="center"/>
              <w:rPr>
                <w:rFonts w:ascii="仿宋" w:hAnsi="仿宋" w:eastAsia="仿宋"/>
                <w:bCs/>
                <w:sz w:val="32"/>
                <w:szCs w:val="32"/>
                <w:lang w:eastAsia="zh-CN"/>
              </w:rPr>
            </w:pPr>
            <w:r>
              <w:rPr>
                <w:rFonts w:hint="eastAsia" w:ascii="仿宋" w:hAnsi="仿宋" w:eastAsia="仿宋"/>
                <w:bCs/>
                <w:sz w:val="32"/>
                <w:szCs w:val="32"/>
                <w:lang w:eastAsia="zh-CN"/>
              </w:rPr>
              <w:t>海口西海岸职业技术学校</w:t>
            </w:r>
          </w:p>
        </w:tc>
        <w:tc>
          <w:tcPr>
            <w:tcW w:w="1634" w:type="dxa"/>
            <w:shd w:val="clear" w:color="auto" w:fill="D9E2F3" w:themeFill="accent5" w:themeFillTint="33"/>
            <w:vAlign w:val="center"/>
          </w:tcPr>
          <w:p>
            <w:pPr>
              <w:pStyle w:val="38"/>
              <w:spacing w:after="0" w:line="240" w:lineRule="auto"/>
              <w:jc w:val="center"/>
              <w:rPr>
                <w:rFonts w:ascii="仿宋" w:hAnsi="仿宋" w:eastAsia="仿宋"/>
                <w:bCs/>
                <w:sz w:val="32"/>
                <w:szCs w:val="32"/>
              </w:rPr>
            </w:pPr>
            <w:r>
              <w:rPr>
                <w:rFonts w:hint="eastAsia" w:ascii="仿宋" w:hAnsi="仿宋" w:eastAsia="仿宋"/>
                <w:bCs/>
                <w:sz w:val="32"/>
                <w:szCs w:val="32"/>
              </w:rPr>
              <w:t>新建</w:t>
            </w:r>
          </w:p>
        </w:tc>
        <w:tc>
          <w:tcPr>
            <w:tcW w:w="2377" w:type="dxa"/>
            <w:shd w:val="clear" w:color="auto" w:fill="D9E2F3" w:themeFill="accent5" w:themeFillTint="33"/>
            <w:vAlign w:val="center"/>
          </w:tcPr>
          <w:p>
            <w:pPr>
              <w:pStyle w:val="38"/>
              <w:spacing w:after="0" w:line="240" w:lineRule="auto"/>
              <w:jc w:val="center"/>
              <w:rPr>
                <w:rFonts w:ascii="仿宋" w:hAnsi="仿宋" w:eastAsia="仿宋"/>
                <w:bCs/>
                <w:sz w:val="32"/>
                <w:szCs w:val="32"/>
              </w:rPr>
            </w:pPr>
            <w:r>
              <w:rPr>
                <w:rFonts w:hint="eastAsia" w:ascii="仿宋" w:hAnsi="仿宋" w:eastAsia="仿宋"/>
                <w:bCs/>
                <w:sz w:val="32"/>
                <w:szCs w:val="32"/>
              </w:rPr>
              <w:t>秀英区</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Ex>
        <w:trPr>
          <w:trHeight w:val="889" w:hRule="atLeast"/>
        </w:trPr>
        <w:tc>
          <w:tcPr>
            <w:tcW w:w="959" w:type="dxa"/>
            <w:vAlign w:val="center"/>
          </w:tcPr>
          <w:p>
            <w:pPr>
              <w:pStyle w:val="38"/>
              <w:spacing w:after="0" w:line="240" w:lineRule="auto"/>
              <w:jc w:val="center"/>
              <w:rPr>
                <w:rFonts w:ascii="仿宋" w:hAnsi="仿宋" w:eastAsia="仿宋"/>
                <w:b/>
                <w:bCs/>
                <w:sz w:val="32"/>
                <w:szCs w:val="32"/>
              </w:rPr>
            </w:pPr>
            <w:r>
              <w:rPr>
                <w:rFonts w:ascii="仿宋" w:hAnsi="仿宋" w:eastAsia="仿宋"/>
                <w:b w:val="0"/>
                <w:bCs/>
                <w:sz w:val="32"/>
                <w:szCs w:val="32"/>
              </w:rPr>
              <w:t>2</w:t>
            </w:r>
          </w:p>
        </w:tc>
        <w:tc>
          <w:tcPr>
            <w:tcW w:w="4911" w:type="dxa"/>
            <w:vAlign w:val="center"/>
          </w:tcPr>
          <w:p>
            <w:pPr>
              <w:pStyle w:val="38"/>
              <w:spacing w:after="0" w:line="240" w:lineRule="auto"/>
              <w:jc w:val="center"/>
              <w:rPr>
                <w:rFonts w:ascii="仿宋" w:hAnsi="仿宋" w:eastAsia="仿宋"/>
                <w:bCs/>
                <w:sz w:val="32"/>
                <w:szCs w:val="32"/>
                <w:lang w:eastAsia="zh-CN"/>
              </w:rPr>
            </w:pPr>
            <w:r>
              <w:rPr>
                <w:rFonts w:hint="eastAsia" w:ascii="仿宋" w:hAnsi="仿宋" w:eastAsia="仿宋"/>
                <w:bCs/>
                <w:sz w:val="32"/>
                <w:szCs w:val="32"/>
                <w:lang w:eastAsia="zh-CN"/>
              </w:rPr>
              <w:t>海口旅游职业学校二期扩建项目</w:t>
            </w:r>
          </w:p>
        </w:tc>
        <w:tc>
          <w:tcPr>
            <w:tcW w:w="1634" w:type="dxa"/>
            <w:vAlign w:val="center"/>
          </w:tcPr>
          <w:p>
            <w:pPr>
              <w:pStyle w:val="38"/>
              <w:spacing w:after="0" w:line="240" w:lineRule="auto"/>
              <w:jc w:val="center"/>
              <w:rPr>
                <w:rFonts w:ascii="仿宋" w:hAnsi="仿宋" w:eastAsia="仿宋"/>
                <w:bCs/>
                <w:sz w:val="32"/>
                <w:szCs w:val="32"/>
              </w:rPr>
            </w:pPr>
            <w:r>
              <w:rPr>
                <w:rFonts w:hint="eastAsia" w:ascii="仿宋" w:hAnsi="仿宋" w:eastAsia="仿宋"/>
                <w:bCs/>
                <w:sz w:val="32"/>
                <w:szCs w:val="32"/>
              </w:rPr>
              <w:t>续建</w:t>
            </w:r>
          </w:p>
        </w:tc>
        <w:tc>
          <w:tcPr>
            <w:tcW w:w="2377" w:type="dxa"/>
            <w:vAlign w:val="center"/>
          </w:tcPr>
          <w:p>
            <w:pPr>
              <w:pStyle w:val="38"/>
              <w:spacing w:after="0" w:line="240" w:lineRule="auto"/>
              <w:jc w:val="center"/>
              <w:rPr>
                <w:rFonts w:ascii="仿宋" w:hAnsi="仿宋" w:eastAsia="仿宋"/>
                <w:bCs/>
                <w:sz w:val="32"/>
                <w:szCs w:val="32"/>
              </w:rPr>
            </w:pPr>
            <w:r>
              <w:rPr>
                <w:rFonts w:hint="eastAsia" w:ascii="仿宋" w:hAnsi="仿宋" w:eastAsia="仿宋"/>
                <w:bCs/>
                <w:sz w:val="32"/>
                <w:szCs w:val="32"/>
              </w:rPr>
              <w:t>秀英区</w:t>
            </w:r>
          </w:p>
        </w:tc>
      </w:tr>
      <w:tr>
        <w:tblPrEx>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Ex>
        <w:trPr>
          <w:trHeight w:val="868" w:hRule="atLeast"/>
        </w:trPr>
        <w:tc>
          <w:tcPr>
            <w:tcW w:w="959" w:type="dxa"/>
            <w:shd w:val="clear" w:color="auto" w:fill="D9E2F3" w:themeFill="accent5" w:themeFillTint="33"/>
            <w:vAlign w:val="center"/>
          </w:tcPr>
          <w:p>
            <w:pPr>
              <w:pStyle w:val="38"/>
              <w:spacing w:after="0" w:line="240" w:lineRule="auto"/>
              <w:jc w:val="center"/>
              <w:rPr>
                <w:rFonts w:ascii="仿宋" w:hAnsi="仿宋" w:eastAsia="仿宋"/>
                <w:b/>
                <w:bCs/>
                <w:sz w:val="32"/>
                <w:szCs w:val="32"/>
              </w:rPr>
            </w:pPr>
            <w:r>
              <w:rPr>
                <w:rFonts w:ascii="仿宋" w:hAnsi="仿宋" w:eastAsia="仿宋"/>
                <w:b w:val="0"/>
                <w:bCs/>
                <w:sz w:val="32"/>
                <w:szCs w:val="32"/>
              </w:rPr>
              <w:t>3</w:t>
            </w:r>
          </w:p>
        </w:tc>
        <w:tc>
          <w:tcPr>
            <w:tcW w:w="4911" w:type="dxa"/>
            <w:shd w:val="clear" w:color="auto" w:fill="D9E2F3" w:themeFill="accent5" w:themeFillTint="33"/>
            <w:vAlign w:val="center"/>
          </w:tcPr>
          <w:p>
            <w:pPr>
              <w:pStyle w:val="38"/>
              <w:spacing w:after="0" w:line="240" w:lineRule="auto"/>
              <w:jc w:val="center"/>
              <w:rPr>
                <w:rFonts w:ascii="仿宋" w:hAnsi="仿宋" w:eastAsia="仿宋"/>
                <w:bCs/>
                <w:sz w:val="32"/>
                <w:szCs w:val="32"/>
                <w:lang w:eastAsia="zh-CN"/>
              </w:rPr>
            </w:pPr>
            <w:r>
              <w:rPr>
                <w:rFonts w:hint="eastAsia" w:ascii="仿宋" w:hAnsi="仿宋" w:eastAsia="仿宋"/>
                <w:bCs/>
                <w:sz w:val="32"/>
                <w:szCs w:val="32"/>
                <w:lang w:eastAsia="zh-CN"/>
              </w:rPr>
              <w:t>江东新区新建一所职业中学</w:t>
            </w:r>
          </w:p>
        </w:tc>
        <w:tc>
          <w:tcPr>
            <w:tcW w:w="1634" w:type="dxa"/>
            <w:shd w:val="clear" w:color="auto" w:fill="D9E2F3" w:themeFill="accent5" w:themeFillTint="33"/>
            <w:vAlign w:val="center"/>
          </w:tcPr>
          <w:p>
            <w:pPr>
              <w:pStyle w:val="38"/>
              <w:spacing w:after="0" w:line="240" w:lineRule="auto"/>
              <w:jc w:val="center"/>
              <w:rPr>
                <w:rFonts w:ascii="仿宋" w:hAnsi="仿宋" w:eastAsia="仿宋"/>
                <w:bCs/>
                <w:sz w:val="32"/>
                <w:szCs w:val="32"/>
              </w:rPr>
            </w:pPr>
            <w:r>
              <w:rPr>
                <w:rFonts w:hint="eastAsia" w:ascii="仿宋" w:hAnsi="仿宋" w:eastAsia="仿宋"/>
                <w:bCs/>
                <w:sz w:val="32"/>
                <w:szCs w:val="32"/>
              </w:rPr>
              <w:t>新建</w:t>
            </w:r>
          </w:p>
        </w:tc>
        <w:tc>
          <w:tcPr>
            <w:tcW w:w="2377" w:type="dxa"/>
            <w:shd w:val="clear" w:color="auto" w:fill="D9E2F3" w:themeFill="accent5" w:themeFillTint="33"/>
            <w:vAlign w:val="center"/>
          </w:tcPr>
          <w:p>
            <w:pPr>
              <w:pStyle w:val="38"/>
              <w:spacing w:after="0" w:line="240" w:lineRule="auto"/>
              <w:jc w:val="center"/>
              <w:rPr>
                <w:rFonts w:ascii="仿宋" w:hAnsi="仿宋" w:eastAsia="仿宋"/>
                <w:bCs/>
                <w:sz w:val="32"/>
                <w:szCs w:val="32"/>
              </w:rPr>
            </w:pPr>
            <w:r>
              <w:rPr>
                <w:rFonts w:hint="eastAsia" w:ascii="仿宋" w:hAnsi="仿宋" w:eastAsia="仿宋"/>
                <w:bCs/>
                <w:sz w:val="32"/>
                <w:szCs w:val="32"/>
              </w:rPr>
              <w:t>江东新区</w:t>
            </w:r>
          </w:p>
        </w:tc>
      </w:tr>
    </w:tbl>
    <w:p>
      <w:pPr>
        <w:pStyle w:val="53"/>
        <w:numPr>
          <w:ilvl w:val="0"/>
          <w:numId w:val="9"/>
        </w:numPr>
        <w:ind w:left="567" w:firstLine="0"/>
      </w:pPr>
      <w:r>
        <w:rPr>
          <w:rFonts w:hint="eastAsia"/>
        </w:rPr>
        <w:t>积极建设中职、高职与本科教育贯通培养、联合培养机制，畅通学生成才渠道</w:t>
      </w:r>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以职业需求为导向、以能力培养为重点研究开展中高职衔接改革工作以及中职学校、高职学校、本科院校资源整合工作，建立灵活多样的职业教育学制，发展职业教育培训。</w:t>
      </w:r>
    </w:p>
    <w:p>
      <w:pPr>
        <w:pStyle w:val="53"/>
        <w:numPr>
          <w:ilvl w:val="0"/>
          <w:numId w:val="9"/>
        </w:numPr>
        <w:ind w:left="567" w:firstLine="0"/>
      </w:pPr>
      <w:r>
        <w:rPr>
          <w:rFonts w:hint="eastAsia"/>
        </w:rPr>
        <w:t>加强“双师型”教师队伍建设，促进技能型人才培养</w:t>
      </w:r>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打造“双师型”教师队伍。招聘拥有企业工作经验并具有高职以上学历的人员进入职业教育学校教师队伍，并通过培训机制提高教师素质，定期组织选派职业院校专业骨干教师赴国外研修访学。推动企业工程技术人员、高技能人才和职业院校教师双向流动。职业院校通过校企合作、技术服务、社会培训、自办企业等所得收入，可按一定比例作为绩效工资来源。</w:t>
      </w:r>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建立健全合理的激励机制，提高职业教育学校办学质量和管理水平，培育产教融合型企业，提高毕业生的实践能力和创新能力。</w:t>
      </w:r>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p>
    <w:p>
      <w:pPr>
        <w:pStyle w:val="49"/>
      </w:pPr>
      <w:bookmarkStart w:id="30" w:name="_Toc77102111"/>
      <w:r>
        <w:rPr>
          <w:rFonts w:hint="eastAsia"/>
        </w:rPr>
        <w:t>（五）民办教育</w:t>
      </w:r>
      <w:bookmarkEnd w:id="30"/>
    </w:p>
    <w:p>
      <w:pPr>
        <w:pStyle w:val="38"/>
      </w:pPr>
      <w:r>
        <w:drawing>
          <wp:inline distT="0" distB="0" distL="0" distR="0">
            <wp:extent cx="6224270" cy="3225165"/>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224270" cy="3225165"/>
                    </a:xfrm>
                    <a:prstGeom prst="rect">
                      <a:avLst/>
                    </a:prstGeom>
                    <a:noFill/>
                  </pic:spPr>
                </pic:pic>
              </a:graphicData>
            </a:graphic>
          </wp:inline>
        </w:drawing>
      </w:r>
    </w:p>
    <w:p>
      <w:pPr>
        <w:pStyle w:val="53"/>
        <w:numPr>
          <w:ilvl w:val="0"/>
          <w:numId w:val="10"/>
        </w:numPr>
        <w:ind w:left="567" w:firstLine="0"/>
      </w:pPr>
      <w:r>
        <w:t>建设一批国际学校和外籍人员子女学校</w:t>
      </w:r>
      <w:r>
        <w:rPr>
          <w:rFonts w:hint="eastAsia"/>
        </w:rPr>
        <w:t>。</w:t>
      </w:r>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引入国内外优质教育资源落地海口，国际学校主要招生对象面向中国公民，为以后续出国留学为延伸，涵盖幼儿园、小学、初中、高中各学龄阶段。外籍人员子女学校主要招收外籍人员子女，可以和国际学校两块牌子，一套人马，合作办学。从学校选址、建设标准、设施设备配备、教职工配置、校务管理、教研教学等方面规范国际学校，为海南自贸港建设提供优良的国际化教育服务。</w:t>
      </w:r>
    </w:p>
    <w:p>
      <w:pPr>
        <w:pStyle w:val="53"/>
        <w:numPr>
          <w:ilvl w:val="0"/>
          <w:numId w:val="10"/>
        </w:numPr>
        <w:ind w:left="567" w:firstLine="0"/>
      </w:pPr>
      <w:r>
        <w:t>形成海南特色的国际化教育。</w:t>
      </w:r>
    </w:p>
    <w:p>
      <w:pPr>
        <w:pStyle w:val="30"/>
        <w:spacing w:before="120" w:after="120" w:line="360" w:lineRule="auto"/>
        <w:ind w:left="0" w:firstLine="567"/>
        <w:jc w:val="both"/>
        <w:rPr>
          <w:rFonts w:ascii="仿宋_GB2312" w:hAnsi="仿宋_GB2312" w:eastAsia="仿宋_GB2312" w:cs="仿宋_GB2312"/>
          <w:b/>
          <w:color w:val="000000" w:themeColor="text1"/>
          <w:sz w:val="32"/>
          <w:szCs w:val="32"/>
          <w:lang w:val="en-US"/>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鼓励有条件的优质高中与国外学校合作举办中外合作办学国际班或国际课程班；鼓励有条件的中小学校招收国际学生，助力打造“留学海南”品牌；鼓励有条件的中小学校加强与发达国家地区以及“一带一路”沿线国家地区中小学校的交流与合作；启动实施基础教育领域“一校一外教”人才引进计划，为每所试点学校配备</w:t>
      </w:r>
      <w:r>
        <w:rPr>
          <w:rFonts w:ascii="仿宋_GB2312" w:hAnsi="仿宋_GB2312" w:eastAsia="仿宋_GB2312" w:cs="仿宋_GB2312"/>
          <w:color w:val="000000" w:themeColor="text1"/>
          <w:sz w:val="32"/>
          <w:szCs w:val="32"/>
          <w14:textFill>
            <w14:solidFill>
              <w14:schemeClr w14:val="tx1"/>
            </w14:solidFill>
          </w14:textFill>
        </w:rPr>
        <w:t>1-2名外籍英语语言类教师。</w:t>
      </w:r>
    </w:p>
    <w:p>
      <w:pPr>
        <w:pStyle w:val="49"/>
      </w:pPr>
      <w:bookmarkStart w:id="31" w:name="_Toc77102112"/>
      <w:r>
        <w:rPr>
          <w:rFonts w:hint="eastAsia"/>
        </w:rPr>
        <w:t>（六）非学历教育</w:t>
      </w:r>
      <w:bookmarkEnd w:id="31"/>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党的十九大报告指出：要办好继续教育，加快建设学习型社会，大力提高国民素质。《国家中长期教育改革和发展规划纲要（</w:t>
      </w:r>
      <w:r>
        <w:rPr>
          <w:rFonts w:ascii="仿宋_GB2312" w:hAnsi="仿宋_GB2312" w:eastAsia="仿宋_GB2312" w:cs="仿宋_GB2312"/>
          <w:color w:val="000000" w:themeColor="text1"/>
          <w:sz w:val="32"/>
          <w:szCs w:val="32"/>
          <w14:textFill>
            <w14:solidFill>
              <w14:schemeClr w14:val="tx1"/>
            </w14:solidFill>
          </w14:textFill>
        </w:rPr>
        <w:t>2010-2020年）》明确指出：“今后十年我国教育事业改革和发展的战略目标是到2020年，基本实现教育现代化，基本形成学习型社会，进入人力资源强国行列。”因此，“十四五”</w:t>
      </w:r>
      <w:r>
        <w:rPr>
          <w:rFonts w:hint="eastAsia" w:ascii="仿宋_GB2312" w:hAnsi="仿宋_GB2312" w:eastAsia="仿宋_GB2312" w:cs="仿宋_GB2312"/>
          <w:color w:val="000000" w:themeColor="text1"/>
          <w:sz w:val="32"/>
          <w:szCs w:val="32"/>
          <w14:textFill>
            <w14:solidFill>
              <w14:schemeClr w14:val="tx1"/>
            </w14:solidFill>
          </w14:textFill>
        </w:rPr>
        <w:t>时期将加速构建服务全民的终身学习体系，将推进终身教育作为提升全民受教育程度的重要途经，形成人人皆学、处处可学、时时能学的学习型社会。</w:t>
      </w:r>
    </w:p>
    <w:p>
      <w:pPr>
        <w:pStyle w:val="19"/>
        <w:spacing w:before="120" w:beforeAutospacing="0" w:after="120" w:afterAutospacing="0" w:line="360" w:lineRule="auto"/>
        <w:jc w:val="both"/>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drawing>
          <wp:inline distT="0" distB="0" distL="0" distR="0">
            <wp:extent cx="6340475" cy="2993390"/>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340475" cy="2993390"/>
                    </a:xfrm>
                    <a:prstGeom prst="rect">
                      <a:avLst/>
                    </a:prstGeom>
                    <a:noFill/>
                  </pic:spPr>
                </pic:pic>
              </a:graphicData>
            </a:graphic>
          </wp:inline>
        </w:drawing>
      </w:r>
    </w:p>
    <w:p>
      <w:pPr>
        <w:pStyle w:val="53"/>
        <w:numPr>
          <w:ilvl w:val="0"/>
          <w:numId w:val="11"/>
        </w:numPr>
        <w:ind w:left="567" w:firstLine="0"/>
      </w:pPr>
      <w:r>
        <w:t>建设全国性教育培训基地，</w:t>
      </w:r>
      <w:r>
        <w:rPr>
          <w:rFonts w:hint="eastAsia"/>
        </w:rPr>
        <w:t>搭建</w:t>
      </w:r>
      <w:r>
        <w:t xml:space="preserve"> </w:t>
      </w:r>
      <w:r>
        <w:rPr>
          <w:rFonts w:hint="eastAsia"/>
        </w:rPr>
        <w:t>“互联网</w:t>
      </w:r>
      <w:r>
        <w:t>+”线上培训平台，争取举办提升科学文化素养的社会教育和提升专业技能水平的职业培训，深化国际、国内交流与合作</w:t>
      </w:r>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多方统筹、多元投入，规划建设全国性教育培训基地。紧跟互联网和移动互联网的发展趋势，加大投入，建设一站式、一体化、开放性的网络平台，为整个办学体系提供信息基础设施、基础数据、运营管理和支持服务。</w:t>
      </w:r>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线上线下联合举办各级各类职业培训，包括国家职业资格培训、行业职业证书培训、专业岗位技能培训，以及岗前培训、转岗培训、在职培训、干部轮训等，积极适应国家构建现代职业教育体系新要求，立足经济社会发展新常态，助力行业企业转型升级、助力职工员工成长发展。同时，充分利用非学历教育灵活多样的办学特征，与国际远程教育组织简历交流与合作关系，积极探索开展面向海内外的游学活动。借助国家“一带一路”战略，与国家外事部门和大型企事业单位合作，推动现代职业教育走出去。</w:t>
      </w:r>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树立非学历培训的良好社会品牌信誉。注重每个培训项目的特色化定位和教学质量管理，培训计划、培训内容、培训时间、培训师资、培训教学的实施均需严格检查督导，重视细节规范化管理与整体统筹协调。</w:t>
      </w:r>
    </w:p>
    <w:p>
      <w:pPr>
        <w:pStyle w:val="53"/>
        <w:numPr>
          <w:ilvl w:val="0"/>
          <w:numId w:val="11"/>
        </w:numPr>
        <w:ind w:left="567" w:firstLine="0"/>
      </w:pPr>
      <w:r>
        <w:rPr>
          <w:rFonts w:hint="eastAsia"/>
        </w:rPr>
        <w:t>依托研学基地、社会实践基地，开展</w:t>
      </w:r>
      <w:r>
        <w:t>非学历</w:t>
      </w:r>
      <w:r>
        <w:rPr>
          <w:rFonts w:hint="eastAsia"/>
        </w:rPr>
        <w:t>教育活动</w:t>
      </w:r>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多举措丰富非学历培训的形式。积极与地方政府、国内社会团体、国内企事业单位、国际教育培训机构等合作开展大型赛事活动、论坛活动，提升社会对非学历培训工作重要性认识，加快建设自贸港特色的学习型社会。</w:t>
      </w:r>
    </w:p>
    <w:p>
      <w:pPr>
        <w:pStyle w:val="49"/>
      </w:pPr>
      <w:bookmarkStart w:id="32" w:name="_Toc77102113"/>
      <w:r>
        <w:rPr>
          <w:rFonts w:hint="eastAsia"/>
        </w:rPr>
        <w:t>（七）高等教育</w:t>
      </w:r>
      <w:bookmarkEnd w:id="32"/>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“十四五”时期，海口市教育局将根据海南省“1+2+</w:t>
      </w:r>
      <w:r>
        <w:rPr>
          <w:rFonts w:ascii="仿宋_GB2312" w:hAnsi="仿宋_GB2312" w:eastAsia="仿宋_GB2312" w:cs="仿宋_GB2312"/>
          <w:color w:val="000000" w:themeColor="text1"/>
          <w:sz w:val="32"/>
          <w:szCs w:val="32"/>
          <w14:textFill>
            <w14:solidFill>
              <w14:schemeClr w14:val="tx1"/>
            </w14:solidFill>
          </w14:textFill>
        </w:rPr>
        <w:t>X</w:t>
      </w:r>
      <w:r>
        <w:rPr>
          <w:rFonts w:hint="eastAsia" w:ascii="仿宋_GB2312" w:hAnsi="仿宋_GB2312" w:eastAsia="仿宋_GB2312" w:cs="仿宋_GB2312"/>
          <w:color w:val="000000" w:themeColor="text1"/>
          <w:sz w:val="32"/>
          <w:szCs w:val="32"/>
          <w14:textFill>
            <w14:solidFill>
              <w14:schemeClr w14:val="tx1"/>
            </w14:solidFill>
          </w14:textFill>
        </w:rPr>
        <w:t>”高等教育总体布局，积极配合海南省教育厅开展引进大学、专业培训机构、综合教育机构等招商及落地运营服务工作，争取落地一所本科院校，积极引进国际化职业院校，在海南省教育厅的管理和指导下统筹海口市教育事业的发展。</w:t>
      </w:r>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在高等学校运营服务中，推动开展高等学校创新能力提升计划、高校新型智库建设项目、大学生创业激励计划，更好地形成具有海口市特色的可复制、可推广的教育综合改革经验，展现海口市教育事业全国领先的标杆地位。</w:t>
      </w:r>
    </w:p>
    <w:p>
      <w:pPr>
        <w:pStyle w:val="49"/>
      </w:pPr>
      <w:bookmarkStart w:id="33" w:name="_Toc77102114"/>
      <w:r>
        <w:rPr>
          <w:rFonts w:hint="eastAsia"/>
        </w:rPr>
        <w:t>（八）特殊教育</w:t>
      </w:r>
      <w:bookmarkEnd w:id="33"/>
    </w:p>
    <w:p>
      <w:pPr>
        <w:pStyle w:val="53"/>
        <w:numPr>
          <w:ilvl w:val="0"/>
          <w:numId w:val="12"/>
        </w:numPr>
        <w:ind w:left="567" w:firstLine="0"/>
      </w:pPr>
      <w:r>
        <w:t>全面提高残疾人教育基础能力和整体水平。</w:t>
      </w:r>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完善随班就读为主体、特殊教育学校为骨干、送教上门和远程教育为补充的特殊教育体系，实现适龄残疾儿童少年接受完整义务教育全覆盖。</w:t>
      </w:r>
    </w:p>
    <w:p>
      <w:pPr>
        <w:pStyle w:val="53"/>
        <w:numPr>
          <w:ilvl w:val="0"/>
          <w:numId w:val="12"/>
        </w:numPr>
        <w:ind w:left="567" w:firstLine="0"/>
      </w:pPr>
      <w:r>
        <w:t>加大特殊教育投入，推进特殊教育教学改革。</w:t>
      </w:r>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按照统筹均衡的发展原则，根据国家特殊教育学校建设标准要求，完成海口市所辖</w:t>
      </w:r>
      <w:r>
        <w:rPr>
          <w:rFonts w:ascii="仿宋_GB2312" w:hAnsi="仿宋_GB2312" w:eastAsia="仿宋_GB2312" w:cs="仿宋_GB2312"/>
          <w:color w:val="000000" w:themeColor="text1"/>
          <w:sz w:val="32"/>
          <w:szCs w:val="32"/>
          <w14:textFill>
            <w14:solidFill>
              <w14:schemeClr w14:val="tx1"/>
            </w14:solidFill>
          </w14:textFill>
        </w:rPr>
        <w:t>4个区各一所特殊学校</w:t>
      </w:r>
      <w:r>
        <w:rPr>
          <w:rFonts w:hint="eastAsia" w:ascii="仿宋_GB2312" w:hAnsi="仿宋_GB2312" w:eastAsia="仿宋_GB2312" w:cs="仿宋_GB2312"/>
          <w:color w:val="000000" w:themeColor="text1"/>
          <w:sz w:val="32"/>
          <w:szCs w:val="32"/>
          <w14:textFill>
            <w14:solidFill>
              <w14:schemeClr w14:val="tx1"/>
            </w14:solidFill>
          </w14:textFill>
        </w:rPr>
        <w:t>的建设</w:t>
      </w:r>
      <w:r>
        <w:rPr>
          <w:rFonts w:ascii="仿宋_GB2312" w:hAnsi="仿宋_GB2312" w:eastAsia="仿宋_GB2312" w:cs="仿宋_GB2312"/>
          <w:color w:val="000000" w:themeColor="text1"/>
          <w:sz w:val="32"/>
          <w:szCs w:val="32"/>
          <w14:textFill>
            <w14:solidFill>
              <w14:schemeClr w14:val="tx1"/>
            </w14:solidFill>
          </w14:textFill>
        </w:rPr>
        <w:t>，并提升学校软硬件条件和教学质量，加快省级示范性特殊教育学校建设。推进特殊教育教学改革，扩大“医教结合”试点规模，全面推进融合教育，重点提高对智力障碍特殊群体教育保障水平。</w:t>
      </w:r>
    </w:p>
    <w:p>
      <w:pPr>
        <w:pStyle w:val="49"/>
      </w:pPr>
      <w:bookmarkStart w:id="34" w:name="_Toc77102115"/>
      <w:r>
        <w:rPr>
          <w:rFonts w:hint="eastAsia"/>
        </w:rPr>
        <w:t>（九）专门教育</w:t>
      </w:r>
      <w:bookmarkEnd w:id="34"/>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根据国家预防未成年人犯罪法和中办、国办下发的《关于加强“专门学校”建设和专门教育工作的意见》，省级人民政府应当将“专门学校”建设纳入经济社会发展总体规划。海口市将积极配合海南省政府的工作安排，将专门学校建设纳入国民教育体系，规划并建设专门学校项目。</w:t>
      </w:r>
    </w:p>
    <w:p>
      <w:pPr>
        <w:pStyle w:val="48"/>
      </w:pPr>
      <w:bookmarkStart w:id="35" w:name="_Toc77102116"/>
      <w:r>
        <w:rPr>
          <w:rFonts w:hint="eastAsia"/>
        </w:rPr>
        <w:t>六、保障措施</w:t>
      </w:r>
      <w:bookmarkEnd w:id="35"/>
    </w:p>
    <w:p>
      <w:pPr>
        <w:pStyle w:val="49"/>
      </w:pPr>
      <w:bookmarkStart w:id="36" w:name="_Toc77102117"/>
      <w:r>
        <w:rPr>
          <w:rFonts w:hint="eastAsia"/>
        </w:rPr>
        <w:t>（一）制度保障</w:t>
      </w:r>
      <w:bookmarkEnd w:id="36"/>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建立规划实施和监督评估机制。各级政府和有关单位要结合《海南省“十四五”教育现代化规划》和本规划，制定本地区、本单位教育改革和发展的“十四五”规划。在每年年度工作计划制定时，将本规划确定的各项目标和任务进行科学分解，落实到实际工作中。建立规划年度监测机制和中期评估机制，各级政府和有关单位要在每年年度工作总结中，回顾年度工作计划的完成情况并总结不足之处。完善考核机制和问责制度，将规划中确定的目标明确落实到单位、部门、领导，将目标完成度与绩效考核进行关联。</w:t>
      </w:r>
    </w:p>
    <w:p>
      <w:pPr>
        <w:pStyle w:val="49"/>
      </w:pPr>
      <w:bookmarkStart w:id="37" w:name="_Toc77102118"/>
      <w:r>
        <w:rPr>
          <w:rFonts w:hint="eastAsia"/>
        </w:rPr>
        <w:t>（二）组织保障</w:t>
      </w:r>
      <w:bookmarkEnd w:id="37"/>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增强“四个意识”、坚定“四个自信”、做到“两个维护”，全面贯彻党的教育方针，坚持社会主义办学方向。充分发挥市委教育领导小组功能作用，把党的领导贯穿教育改革发展全过程，把党的政治优势、组织优势转化为海口全面深化教育改革和扩大开放的坚强保证，落实党委（党组）意识形态工作责任制，把好党对意识形态工作的领导权、话语权。</w:t>
      </w:r>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充分发挥基层党组织的作用。加强学校领导班子和干部队伍建设，不断提升领导教育改革和发展的能力。优化基层党组织设置，实施学校党支部建设工程，强化经常性教育，通过创新活动方式、丰富活动内容不断增强党支部的创造力和凝聚力。加强党员队伍建设，加大在学科带头人、青年教师和优秀学生中发展党员的工作力度。加强对党员的教育、管理和服务，不断提高党员素质。</w:t>
      </w:r>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严明党的纪律，强化执纪问责。深化惩治和预防腐败体系建设，不断完善党风廉政建设领导体制与工作机制，切实贯彻党风廉政建设责任制。广泛开展党风廉政宣传教育，扎实推进廉政风险防控，健全决策权、执行权、监督权相互制约、相互协调的权力运行机制。开展对学校机构的监督巡察工作，以问题为导向，切实提升巡查工作震慑力；坚决查处违纪违法案件，做好纪检监察信访工作，仔细甄别、管理和处置有关线索。加强教育系统政风行风建设，深化党务公开、政务公开、校务公开，严肃查办违纪违法案件，认真解决群众反映突出的问题，保持案件查办高压态势，发挥查办案件的治本功能。</w:t>
      </w:r>
    </w:p>
    <w:p>
      <w:pPr>
        <w:pStyle w:val="49"/>
      </w:pPr>
      <w:bookmarkStart w:id="38" w:name="_Toc77102119"/>
      <w:r>
        <w:rPr>
          <w:rFonts w:hint="eastAsia"/>
        </w:rPr>
        <w:t>（三）法治保障</w:t>
      </w:r>
      <w:bookmarkEnd w:id="38"/>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全面推动现代教育治理改革，建立健全依法治教制度体系，完善教育法律法规保障体系</w:t>
      </w:r>
      <w:r>
        <w:rPr>
          <w:rFonts w:ascii="仿宋_GB2312" w:hAnsi="仿宋_GB2312" w:eastAsia="仿宋_GB2312" w:cs="仿宋_GB2312"/>
          <w:color w:val="000000" w:themeColor="text1"/>
          <w:sz w:val="32"/>
          <w:szCs w:val="32"/>
          <w14:textFill>
            <w14:solidFill>
              <w14:schemeClr w14:val="tx1"/>
            </w14:solidFill>
          </w14:textFill>
        </w:rPr>
        <w:t>,深化依法行政和依法治校的运行机制，全面推进教育法治化建设进程。进一步理顺教育领域各主体之间的权利义务关系,建立权责明确、行为规范、运转协调、高效廉洁的行政管理体制和执法体制。践行依法治教理念,运用法治思维和法治方式,调整、规范和解决教育领域出现的新情况和新问题,有效化解矛盾,积极维护稳定,确保在法治轨道上有序推进教育改革和发展。</w:t>
      </w:r>
      <w:r>
        <w:rPr>
          <w:rFonts w:hint="eastAsia" w:ascii="仿宋_GB2312" w:hAnsi="仿宋_GB2312" w:eastAsia="仿宋_GB2312" w:cs="仿宋_GB2312"/>
          <w:color w:val="000000" w:themeColor="text1"/>
          <w:sz w:val="32"/>
          <w:szCs w:val="32"/>
          <w14:textFill>
            <w14:solidFill>
              <w14:schemeClr w14:val="tx1"/>
            </w14:solidFill>
          </w14:textFill>
        </w:rPr>
        <w:t>实行政府领导教育公开承诺和评议机制，形成就教育事业的发展和教育规划的落实情况向人大进行报告的常态机制，接受人大代表和人民群众的监督。</w:t>
      </w:r>
    </w:p>
    <w:p>
      <w:pPr>
        <w:pStyle w:val="49"/>
      </w:pPr>
      <w:bookmarkStart w:id="39" w:name="_Toc77102120"/>
      <w:r>
        <w:rPr>
          <w:rFonts w:hint="eastAsia"/>
        </w:rPr>
        <w:t>（四）资源保障</w:t>
      </w:r>
      <w:bookmarkEnd w:id="39"/>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加大教育经费投入力度。健全以财政拨款为主、多渠道筹措教育经费的教育投入体制。继续争取省市各级领导支持，把教育作为财政支出的重点领域予以优先保障。严格按照“确保财政一般公共预算教育支出逐年只增不减，确保按在校学生人数平均的一般公共预算教育支出逐年只增不减”的要求，落实好各项支出责任，足额安排教育资金，使教育投入总量与教育发展实际需求相适应，教育投入结构与教育规划布局结构变化相适应，教育投入方式与教育改革和创新相适应。扩大社会资源进入教育的途径，多渠道增加教育投入。鼓励和引导社会力量捐资、出资办学。鼓励有条件的家庭加大对子女教育和家庭成员继续教育的投入。</w:t>
      </w:r>
    </w:p>
    <w:p>
      <w:pPr>
        <w:pStyle w:val="49"/>
      </w:pPr>
      <w:bookmarkStart w:id="40" w:name="_Toc77102121"/>
      <w:r>
        <w:rPr>
          <w:rFonts w:hint="eastAsia"/>
        </w:rPr>
        <w:t>（五）人才保障</w:t>
      </w:r>
      <w:bookmarkEnd w:id="40"/>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严格执行教师基本工资和教师绩效工资的规定，确保按时足额发放，保证教师的平均工资水平不低于公务员的平均工资水平，并逐步提高。</w:t>
      </w:r>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落实“好校长、好教师”引进工程，研究制定骨干教师帮扶农村学校、薄弱学校岗位津贴政策，吸引和稳定优秀人才到农村学校、薄弱学校长期任教。</w:t>
      </w:r>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继续建设农村学校教师周转房，推进教师保障性住房建设，加快落实教职工住房补贴政策，完善教师住房、养老、医疗保险等社会保障制度。</w:t>
      </w:r>
    </w:p>
    <w:p>
      <w:pPr>
        <w:pStyle w:val="19"/>
        <w:spacing w:before="120" w:beforeAutospacing="0" w:after="120" w:afterAutospacing="0" w:line="360" w:lineRule="auto"/>
        <w:ind w:firstLine="567"/>
        <w:jc w:val="both"/>
        <w:rPr>
          <w:color w:val="000000" w:themeColor="text1"/>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加大对教师的培养与培训。各级教育行政部门要设立教师队伍建设专项经费，实行专款专用。</w:t>
      </w:r>
    </w:p>
    <w:p>
      <w:pPr>
        <w:pStyle w:val="49"/>
      </w:pPr>
      <w:bookmarkStart w:id="41" w:name="_Toc77102122"/>
      <w:r>
        <w:rPr>
          <w:rFonts w:hint="eastAsia"/>
        </w:rPr>
        <w:t>（六）研训保障</w:t>
      </w:r>
      <w:bookmarkEnd w:id="41"/>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发挥市研训院和区教研室对学校教科研的引领、指导、服务职能，整合各类优质教育资源，进一步完善校本研修、蹲点教研和网络研修制度。以备课组、学科组、中心教研组为基础，构建以“实践反思、同伴互助、专业引领”为核心的校本研修体系。</w:t>
      </w:r>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以课题研究为载体，广泛开展实验研究和行动研究，分批承担不少于</w:t>
      </w:r>
      <w:r>
        <w:rPr>
          <w:rFonts w:ascii="仿宋_GB2312" w:hAnsi="仿宋_GB2312" w:eastAsia="仿宋_GB2312" w:cs="仿宋_GB2312"/>
          <w:color w:val="000000" w:themeColor="text1"/>
          <w:sz w:val="32"/>
          <w:szCs w:val="32"/>
          <w14:textFill>
            <w14:solidFill>
              <w14:schemeClr w14:val="tx1"/>
            </w14:solidFill>
          </w14:textFill>
        </w:rPr>
        <w:t>200项国家、省、市级实验课题。进一步完善教科研成果评价和推广机制，促进教育科研向教育实践的转化与应用。</w:t>
      </w:r>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注重对中考、高考制度改革的分析研究，结合海口教育实际，研究制定相应的改革实施方案，确保各项改革措施全面落实。</w:t>
      </w:r>
    </w:p>
    <w:p>
      <w:pPr>
        <w:pStyle w:val="49"/>
      </w:pPr>
      <w:bookmarkStart w:id="42" w:name="_Toc77102123"/>
      <w:r>
        <w:rPr>
          <w:rFonts w:hint="eastAsia"/>
        </w:rPr>
        <w:t>（七）文化保障</w:t>
      </w:r>
      <w:bookmarkEnd w:id="42"/>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使“以学生发展为本”的理念文化深入人心，重视办学企业的办学理念，努力构建把自然的启迪、社会的影响、生活的现实、环境的熏陶、人与自然和谐共存的大教育观，不仅关心学生今天的快乐成长，更关注学生明天的持续发展。</w:t>
      </w:r>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完善以人为本的制度文化，以机制提升价值观念，以民主促进科学发展，引导行为，开发潜能，实现学校以人的发展为根本的核心价值追求。</w:t>
      </w:r>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培育文明和谐的行为文化，加强学生的文明行为、教师的教育行为、学校的管理行为等方面教育。丰富学校建筑和景观的文化蕴涵，彰显“一校一策、一校一品、一校一景”的学校发展特色。</w:t>
      </w:r>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立足学校实际、传统底蕴、工作优势、周边资源等因素，努力创建个性鲜明、富有特色的校园文化体系，使学校文化成为海口教育发展的内生推动力、核心竞争力和持久辐射力。</w:t>
      </w:r>
    </w:p>
    <w:p>
      <w:pPr>
        <w:pStyle w:val="49"/>
        <w:rPr>
          <w:highlight w:val="none"/>
        </w:rPr>
      </w:pPr>
      <w:bookmarkStart w:id="43" w:name="_Toc77102124"/>
      <w:r>
        <w:rPr>
          <w:rFonts w:hint="eastAsia"/>
          <w:highlight w:val="none"/>
        </w:rPr>
        <w:t>（八）安全保障</w:t>
      </w:r>
      <w:bookmarkEnd w:id="43"/>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安全是办学的底线，市教育局将牵头不断强化和落实各教育阶段的安全体系建设。在坚持统筹协调、综合施策的原则下，健全公共安全综合治理体系，构建政府、学校、家庭、社会“四位一体”校园安全综合治理机制；在坚持以人为本，全面放开的原则下，牢固树立“生命至上、安全第一”的理念，高起点规划、高水平建设具有科学性和可操作性的校园安全防控体系建设；坚持分类施策、突出重点的原则，坚持问题导向，突出地方差异，解决群众关系、社会关注的校园安全建设；最后，坚持教育为先、预防为主的原则，监督各学校深入开展学生法制安全教育、应急安全演练等活动，提高学生自我安全防护意识，推动安全、家庭、社会安全教育常态化、制度化。</w:t>
      </w:r>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Arial" w:hAnsi="Arial" w:eastAsia="Arial" w:cs="Arial"/>
          <w:color w:val="000000" w:themeColor="text1"/>
          <w14:textFill>
            <w14:solidFill>
              <w14:schemeClr w14:val="tx1"/>
            </w14:solidFill>
          </w14:textFill>
        </w:rPr>
        <w:drawing>
          <wp:anchor distT="0" distB="0" distL="114300" distR="114300" simplePos="0" relativeHeight="251656192" behindDoc="0" locked="0" layoutInCell="1" allowOverlap="1">
            <wp:simplePos x="0" y="0"/>
            <wp:positionH relativeFrom="page">
              <wp:align>right</wp:align>
            </wp:positionH>
            <wp:positionV relativeFrom="paragraph">
              <wp:posOffset>-1076325</wp:posOffset>
            </wp:positionV>
            <wp:extent cx="7545705" cy="10839450"/>
            <wp:effectExtent l="0" t="0" r="0" b="0"/>
            <wp:wrapNone/>
            <wp:docPr id="19" name="图片 3" descr="背景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背景图案&#10;&#10;描述已自动生成"/>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7546192" cy="10840150"/>
                    </a:xfrm>
                    <a:prstGeom prst="rect">
                      <a:avLst/>
                    </a:prstGeom>
                  </pic:spPr>
                </pic:pic>
              </a:graphicData>
            </a:graphic>
          </wp:anchor>
        </w:drawing>
      </w:r>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p>
    <w:p>
      <w:pPr>
        <w:pStyle w:val="19"/>
        <w:spacing w:before="120" w:beforeAutospacing="0" w:after="120" w:afterAutospacing="0" w:line="360" w:lineRule="auto"/>
        <w:ind w:firstLine="567"/>
        <w:jc w:val="both"/>
        <w:rPr>
          <w:rFonts w:ascii="仿宋_GB2312" w:hAnsi="仿宋_GB2312" w:eastAsia="仿宋_GB2312" w:cs="仿宋_GB2312"/>
          <w:color w:val="000000" w:themeColor="text1"/>
          <w:sz w:val="32"/>
          <w:szCs w:val="32"/>
          <w14:textFill>
            <w14:solidFill>
              <w14:schemeClr w14:val="tx1"/>
            </w14:solidFill>
          </w14:textFill>
        </w:rPr>
      </w:pPr>
    </w:p>
    <w:sectPr>
      <w:footerReference r:id="rId6" w:type="first"/>
      <w:footerReference r:id="rId5" w:type="default"/>
      <w:pgSz w:w="11906" w:h="16838"/>
      <w:pgMar w:top="1440" w:right="1106" w:bottom="1440" w:left="990" w:header="708" w:footer="708" w:gutter="0"/>
      <w:pgNumType w:fmt="numberInDash" w:start="1"/>
      <w:cols w:space="708"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auto"/>
    <w:pitch w:val="default"/>
    <w:sig w:usb0="00000001" w:usb1="080E0000" w:usb2="00000000" w:usb3="00000000" w:csb0="00040000" w:csb1="00000000"/>
  </w:font>
  <w:font w:name="Segoe UI">
    <w:panose1 w:val="020B0502040204020203"/>
    <w:charset w:val="00"/>
    <w:family w:val="swiss"/>
    <w:pitch w:val="default"/>
    <w:sig w:usb0="E10022FF" w:usb1="C000E47F" w:usb2="00000029" w:usb3="00000000" w:csb0="200001DF" w:csb1="20000000"/>
  </w:font>
  <w:font w:name="Calibri Light">
    <w:panose1 w:val="020F0302020204030204"/>
    <w:charset w:val="00"/>
    <w:family w:val="swiss"/>
    <w:pitch w:val="default"/>
    <w:sig w:usb0="A00002EF" w:usb1="4000207B"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PMingLiU">
    <w:panose1 w:val="02020500000000000000"/>
    <w:charset w:val="88"/>
    <w:family w:val="roman"/>
    <w:pitch w:val="default"/>
    <w:sig w:usb0="A00002FF" w:usb1="28CFFCFA" w:usb2="00000016" w:usb3="00000000" w:csb0="00100001" w:csb1="00000000"/>
  </w:font>
  <w:font w:name="Cambria Math">
    <w:panose1 w:val="02040503050406030204"/>
    <w:charset w:val="00"/>
    <w:family w:val="roman"/>
    <w:pitch w:val="default"/>
    <w:sig w:usb0="E00002FF" w:usb1="420024FF" w:usb2="00000000" w:usb3="00000000" w:csb0="2000019F"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- 1 -</w:t>
    </w:r>
    <w:r>
      <w:rPr>
        <w:rFonts w:hint="eastAsia" w:ascii="宋体" w:hAnsi="宋体" w:eastAsia="宋体" w:cs="宋体"/>
        <w:sz w:val="28"/>
        <w:szCs w:val="28"/>
      </w:rPr>
      <w:fldChar w:fldCharType="end"/>
    </w: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- 1 -</w:t>
    </w:r>
    <w:r>
      <w:rPr>
        <w:rFonts w:hint="eastAsia" w:ascii="宋体" w:hAnsi="宋体" w:eastAsia="宋体" w:cs="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- 1 -</w:t>
    </w:r>
    <w:r>
      <w:rPr>
        <w:rFonts w:hint="eastAsia" w:ascii="宋体" w:hAnsi="宋体" w:eastAsia="宋体" w:cs="宋体"/>
        <w:sz w:val="28"/>
        <w:szCs w:val="28"/>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inline distT="0" distB="0" distL="0" distR="0">
          <wp:extent cx="466725" cy="4483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
                  <a:stretch>
                    <a:fillRect/>
                  </a:stretch>
                </pic:blipFill>
                <pic:spPr>
                  <a:xfrm>
                    <a:off x="0" y="0"/>
                    <a:ext cx="476588" cy="45782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A3AA9"/>
    <w:multiLevelType w:val="multilevel"/>
    <w:tmpl w:val="088A3AA9"/>
    <w:lvl w:ilvl="0" w:tentative="0">
      <w:start w:val="1"/>
      <w:numFmt w:val="decimal"/>
      <w:lvlText w:val="%1."/>
      <w:lvlJc w:val="left"/>
      <w:pPr>
        <w:ind w:left="720" w:hanging="360"/>
      </w:pPr>
      <w:rPr>
        <w:rFonts w:hint="eastAsi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5C12F7A"/>
    <w:multiLevelType w:val="multilevel"/>
    <w:tmpl w:val="15C12F7A"/>
    <w:lvl w:ilvl="0" w:tentative="0">
      <w:start w:val="1"/>
      <w:numFmt w:val="decimal"/>
      <w:pStyle w:val="51"/>
      <w:lvlText w:val="%1."/>
      <w:lvlJc w:val="left"/>
      <w:pPr>
        <w:ind w:left="1287" w:hanging="360"/>
      </w:p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2">
    <w:nsid w:val="27D41A3D"/>
    <w:multiLevelType w:val="multilevel"/>
    <w:tmpl w:val="27D41A3D"/>
    <w:lvl w:ilvl="0" w:tentative="0">
      <w:start w:val="1"/>
      <w:numFmt w:val="chineseCountingThousand"/>
      <w:pStyle w:val="2"/>
      <w:lvlText w:val="%1."/>
      <w:lvlJc w:val="left"/>
      <w:pPr>
        <w:ind w:left="1211" w:hanging="360"/>
      </w:pPr>
      <w:rPr>
        <w:rFonts w:hint="eastAsia"/>
      </w:rPr>
    </w:lvl>
    <w:lvl w:ilvl="1" w:tentative="0">
      <w:start w:val="1"/>
      <w:numFmt w:val="lowerLetter"/>
      <w:lvlText w:val="%2."/>
      <w:lvlJc w:val="left"/>
      <w:pPr>
        <w:ind w:left="1931" w:hanging="360"/>
      </w:pPr>
    </w:lvl>
    <w:lvl w:ilvl="2" w:tentative="0">
      <w:start w:val="1"/>
      <w:numFmt w:val="lowerRoman"/>
      <w:lvlText w:val="%3."/>
      <w:lvlJc w:val="right"/>
      <w:pPr>
        <w:ind w:left="2651" w:hanging="180"/>
      </w:pPr>
    </w:lvl>
    <w:lvl w:ilvl="3" w:tentative="0">
      <w:start w:val="1"/>
      <w:numFmt w:val="decimal"/>
      <w:lvlText w:val="%4."/>
      <w:lvlJc w:val="left"/>
      <w:pPr>
        <w:ind w:left="3371" w:hanging="360"/>
      </w:pPr>
    </w:lvl>
    <w:lvl w:ilvl="4" w:tentative="0">
      <w:start w:val="1"/>
      <w:numFmt w:val="lowerLetter"/>
      <w:lvlText w:val="%5."/>
      <w:lvlJc w:val="left"/>
      <w:pPr>
        <w:ind w:left="4091" w:hanging="360"/>
      </w:pPr>
    </w:lvl>
    <w:lvl w:ilvl="5" w:tentative="0">
      <w:start w:val="1"/>
      <w:numFmt w:val="lowerRoman"/>
      <w:lvlText w:val="%6."/>
      <w:lvlJc w:val="right"/>
      <w:pPr>
        <w:ind w:left="4811" w:hanging="180"/>
      </w:pPr>
    </w:lvl>
    <w:lvl w:ilvl="6" w:tentative="0">
      <w:start w:val="1"/>
      <w:numFmt w:val="decimal"/>
      <w:lvlText w:val="%7."/>
      <w:lvlJc w:val="left"/>
      <w:pPr>
        <w:ind w:left="5531" w:hanging="360"/>
      </w:pPr>
    </w:lvl>
    <w:lvl w:ilvl="7" w:tentative="0">
      <w:start w:val="1"/>
      <w:numFmt w:val="lowerLetter"/>
      <w:lvlText w:val="%8."/>
      <w:lvlJc w:val="left"/>
      <w:pPr>
        <w:ind w:left="6251" w:hanging="360"/>
      </w:pPr>
    </w:lvl>
    <w:lvl w:ilvl="8" w:tentative="0">
      <w:start w:val="1"/>
      <w:numFmt w:val="lowerRoman"/>
      <w:lvlText w:val="%9."/>
      <w:lvlJc w:val="right"/>
      <w:pPr>
        <w:ind w:left="6971" w:hanging="180"/>
      </w:pPr>
    </w:lvl>
  </w:abstractNum>
  <w:abstractNum w:abstractNumId="3">
    <w:nsid w:val="2E843530"/>
    <w:multiLevelType w:val="multilevel"/>
    <w:tmpl w:val="2E843530"/>
    <w:lvl w:ilvl="0" w:tentative="0">
      <w:start w:val="1"/>
      <w:numFmt w:val="decimal"/>
      <w:lvlText w:val="%1."/>
      <w:lvlJc w:val="left"/>
      <w:pPr>
        <w:ind w:left="720" w:hanging="360"/>
      </w:pPr>
      <w:rPr>
        <w:rFonts w:hint="eastAsi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30F32A53"/>
    <w:multiLevelType w:val="multilevel"/>
    <w:tmpl w:val="30F32A53"/>
    <w:lvl w:ilvl="0" w:tentative="0">
      <w:start w:val="1"/>
      <w:numFmt w:val="decimal"/>
      <w:pStyle w:val="53"/>
      <w:lvlText w:val="%1."/>
      <w:lvlJc w:val="left"/>
      <w:pPr>
        <w:ind w:left="720" w:hanging="360"/>
      </w:pPr>
      <w:rPr>
        <w:rFonts w:hint="eastAsi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473048AB"/>
    <w:multiLevelType w:val="multilevel"/>
    <w:tmpl w:val="473048AB"/>
    <w:lvl w:ilvl="0" w:tentative="0">
      <w:start w:val="1"/>
      <w:numFmt w:val="decimal"/>
      <w:lvlText w:val="%1."/>
      <w:lvlJc w:val="left"/>
      <w:pPr>
        <w:ind w:left="720" w:hanging="360"/>
      </w:pPr>
      <w:rPr>
        <w:rFonts w:hint="eastAsi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47B24AC9"/>
    <w:multiLevelType w:val="multilevel"/>
    <w:tmpl w:val="47B24AC9"/>
    <w:lvl w:ilvl="0" w:tentative="0">
      <w:start w:val="1"/>
      <w:numFmt w:val="decimal"/>
      <w:lvlText w:val="%1."/>
      <w:lvlJc w:val="left"/>
      <w:pPr>
        <w:ind w:left="720" w:hanging="360"/>
      </w:pPr>
      <w:rPr>
        <w:rFonts w:hint="eastAsi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4861707B"/>
    <w:multiLevelType w:val="multilevel"/>
    <w:tmpl w:val="4861707B"/>
    <w:lvl w:ilvl="0" w:tentative="0">
      <w:start w:val="1"/>
      <w:numFmt w:val="decimal"/>
      <w:lvlText w:val="%1."/>
      <w:lvlJc w:val="left"/>
      <w:pPr>
        <w:ind w:left="720" w:hanging="360"/>
      </w:pPr>
      <w:rPr>
        <w:rFonts w:hint="eastAsi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4B670063"/>
    <w:multiLevelType w:val="multilevel"/>
    <w:tmpl w:val="4B670063"/>
    <w:lvl w:ilvl="0" w:tentative="0">
      <w:start w:val="1"/>
      <w:numFmt w:val="decimal"/>
      <w:lvlText w:val="%1."/>
      <w:lvlJc w:val="left"/>
      <w:pPr>
        <w:ind w:left="720" w:hanging="360"/>
      </w:pPr>
      <w:rPr>
        <w:rFonts w:hint="eastAsi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5074272A"/>
    <w:multiLevelType w:val="multilevel"/>
    <w:tmpl w:val="5074272A"/>
    <w:lvl w:ilvl="0" w:tentative="0">
      <w:start w:val="1"/>
      <w:numFmt w:val="decimal"/>
      <w:lvlText w:val="%1."/>
      <w:lvlJc w:val="left"/>
      <w:pPr>
        <w:ind w:left="720" w:hanging="360"/>
      </w:pPr>
      <w:rPr>
        <w:rFonts w:hint="eastAsi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52CC359F"/>
    <w:multiLevelType w:val="multilevel"/>
    <w:tmpl w:val="52CC359F"/>
    <w:lvl w:ilvl="0" w:tentative="0">
      <w:start w:val="1"/>
      <w:numFmt w:val="decimal"/>
      <w:lvlText w:val="%1."/>
      <w:lvlJc w:val="left"/>
      <w:pPr>
        <w:ind w:left="720" w:hanging="360"/>
      </w:pPr>
      <w:rPr>
        <w:rFonts w:hint="eastAsi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737E0497"/>
    <w:multiLevelType w:val="multilevel"/>
    <w:tmpl w:val="737E0497"/>
    <w:lvl w:ilvl="0" w:tentative="0">
      <w:start w:val="1"/>
      <w:numFmt w:val="decimal"/>
      <w:lvlText w:val="%1."/>
      <w:lvlJc w:val="left"/>
      <w:pPr>
        <w:ind w:left="720" w:hanging="360"/>
      </w:pPr>
      <w:rPr>
        <w:rFonts w:hint="eastAsi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7"/>
  </w:num>
  <w:num w:numId="6">
    <w:abstractNumId w:val="6"/>
  </w:num>
  <w:num w:numId="7">
    <w:abstractNumId w:val="9"/>
  </w:num>
  <w:num w:numId="8">
    <w:abstractNumId w:val="5"/>
  </w:num>
  <w:num w:numId="9">
    <w:abstractNumId w:val="11"/>
  </w:num>
  <w:num w:numId="10">
    <w:abstractNumId w:val="8"/>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227"/>
  <w:noPunctuationKerning w:val="1"/>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A4E"/>
    <w:rsid w:val="00000F9F"/>
    <w:rsid w:val="000055C6"/>
    <w:rsid w:val="00013567"/>
    <w:rsid w:val="00014618"/>
    <w:rsid w:val="000223CF"/>
    <w:rsid w:val="0002338D"/>
    <w:rsid w:val="000271FC"/>
    <w:rsid w:val="000273A8"/>
    <w:rsid w:val="000301D7"/>
    <w:rsid w:val="0003135B"/>
    <w:rsid w:val="0003271E"/>
    <w:rsid w:val="00032CAA"/>
    <w:rsid w:val="00033761"/>
    <w:rsid w:val="00034A57"/>
    <w:rsid w:val="00034B6E"/>
    <w:rsid w:val="00034D32"/>
    <w:rsid w:val="00036037"/>
    <w:rsid w:val="0004003F"/>
    <w:rsid w:val="00051A85"/>
    <w:rsid w:val="0005482A"/>
    <w:rsid w:val="00055EEB"/>
    <w:rsid w:val="0005771E"/>
    <w:rsid w:val="000715ED"/>
    <w:rsid w:val="00071AC4"/>
    <w:rsid w:val="00072552"/>
    <w:rsid w:val="0007479F"/>
    <w:rsid w:val="00076D16"/>
    <w:rsid w:val="0008286F"/>
    <w:rsid w:val="0008691D"/>
    <w:rsid w:val="00091ABB"/>
    <w:rsid w:val="00092115"/>
    <w:rsid w:val="00092FB2"/>
    <w:rsid w:val="000954B7"/>
    <w:rsid w:val="00096070"/>
    <w:rsid w:val="00097A4E"/>
    <w:rsid w:val="00097A64"/>
    <w:rsid w:val="000A133E"/>
    <w:rsid w:val="000A4F96"/>
    <w:rsid w:val="000A5A23"/>
    <w:rsid w:val="000A5A4E"/>
    <w:rsid w:val="000A5AE6"/>
    <w:rsid w:val="000B1174"/>
    <w:rsid w:val="000B1370"/>
    <w:rsid w:val="000B47C7"/>
    <w:rsid w:val="000C5789"/>
    <w:rsid w:val="000C5F03"/>
    <w:rsid w:val="000C6CA5"/>
    <w:rsid w:val="000D0819"/>
    <w:rsid w:val="000D2502"/>
    <w:rsid w:val="000D5938"/>
    <w:rsid w:val="000D7CB6"/>
    <w:rsid w:val="000E05A1"/>
    <w:rsid w:val="000E0FCE"/>
    <w:rsid w:val="000E46D8"/>
    <w:rsid w:val="000E4A30"/>
    <w:rsid w:val="000E6592"/>
    <w:rsid w:val="000E69C1"/>
    <w:rsid w:val="000F3B41"/>
    <w:rsid w:val="000F44A5"/>
    <w:rsid w:val="000F45FE"/>
    <w:rsid w:val="0010183A"/>
    <w:rsid w:val="00104612"/>
    <w:rsid w:val="00105B7E"/>
    <w:rsid w:val="00107782"/>
    <w:rsid w:val="0011063D"/>
    <w:rsid w:val="00114585"/>
    <w:rsid w:val="001167B8"/>
    <w:rsid w:val="0012234C"/>
    <w:rsid w:val="00132C67"/>
    <w:rsid w:val="00133656"/>
    <w:rsid w:val="001431CA"/>
    <w:rsid w:val="00143764"/>
    <w:rsid w:val="001437CB"/>
    <w:rsid w:val="00143A51"/>
    <w:rsid w:val="001444B9"/>
    <w:rsid w:val="001450AC"/>
    <w:rsid w:val="00145776"/>
    <w:rsid w:val="00150DAB"/>
    <w:rsid w:val="00155357"/>
    <w:rsid w:val="00155AE6"/>
    <w:rsid w:val="001564B2"/>
    <w:rsid w:val="001612B3"/>
    <w:rsid w:val="00162FDE"/>
    <w:rsid w:val="001639A9"/>
    <w:rsid w:val="00163E7A"/>
    <w:rsid w:val="00166774"/>
    <w:rsid w:val="0017550E"/>
    <w:rsid w:val="001771E7"/>
    <w:rsid w:val="00182473"/>
    <w:rsid w:val="0019010D"/>
    <w:rsid w:val="001908B5"/>
    <w:rsid w:val="00193AB0"/>
    <w:rsid w:val="00196DEA"/>
    <w:rsid w:val="001A1B12"/>
    <w:rsid w:val="001A3051"/>
    <w:rsid w:val="001A678D"/>
    <w:rsid w:val="001B03E1"/>
    <w:rsid w:val="001B1DFE"/>
    <w:rsid w:val="001B3960"/>
    <w:rsid w:val="001B61D9"/>
    <w:rsid w:val="001B72F3"/>
    <w:rsid w:val="001B7BE5"/>
    <w:rsid w:val="001C4D84"/>
    <w:rsid w:val="001C5310"/>
    <w:rsid w:val="001C6D6E"/>
    <w:rsid w:val="001C7025"/>
    <w:rsid w:val="001D0ACA"/>
    <w:rsid w:val="001D0E1D"/>
    <w:rsid w:val="001D40F4"/>
    <w:rsid w:val="001D569F"/>
    <w:rsid w:val="001D68D2"/>
    <w:rsid w:val="001D6E71"/>
    <w:rsid w:val="001D79FE"/>
    <w:rsid w:val="001E2098"/>
    <w:rsid w:val="001E3D94"/>
    <w:rsid w:val="001F0B9B"/>
    <w:rsid w:val="001F11D6"/>
    <w:rsid w:val="001F1D98"/>
    <w:rsid w:val="001F4F0A"/>
    <w:rsid w:val="001F6166"/>
    <w:rsid w:val="001F6230"/>
    <w:rsid w:val="001F71D3"/>
    <w:rsid w:val="001F7B05"/>
    <w:rsid w:val="001F7CC7"/>
    <w:rsid w:val="002003DF"/>
    <w:rsid w:val="00204D96"/>
    <w:rsid w:val="00210ED3"/>
    <w:rsid w:val="00211E4F"/>
    <w:rsid w:val="002128EC"/>
    <w:rsid w:val="0021702E"/>
    <w:rsid w:val="00217D58"/>
    <w:rsid w:val="002251EB"/>
    <w:rsid w:val="00231CF1"/>
    <w:rsid w:val="00236173"/>
    <w:rsid w:val="00237CD9"/>
    <w:rsid w:val="00241595"/>
    <w:rsid w:val="002451FC"/>
    <w:rsid w:val="00254D9F"/>
    <w:rsid w:val="0025500F"/>
    <w:rsid w:val="00255AAE"/>
    <w:rsid w:val="002567D0"/>
    <w:rsid w:val="00256BB1"/>
    <w:rsid w:val="002609B0"/>
    <w:rsid w:val="00260B1A"/>
    <w:rsid w:val="00261419"/>
    <w:rsid w:val="002619CA"/>
    <w:rsid w:val="00261A07"/>
    <w:rsid w:val="00264DF1"/>
    <w:rsid w:val="00266BEF"/>
    <w:rsid w:val="002674B8"/>
    <w:rsid w:val="002707B0"/>
    <w:rsid w:val="00271078"/>
    <w:rsid w:val="00272D0E"/>
    <w:rsid w:val="00273C5D"/>
    <w:rsid w:val="00275293"/>
    <w:rsid w:val="00277956"/>
    <w:rsid w:val="00280177"/>
    <w:rsid w:val="002802D4"/>
    <w:rsid w:val="00280F00"/>
    <w:rsid w:val="00284B33"/>
    <w:rsid w:val="00286DAC"/>
    <w:rsid w:val="002919CE"/>
    <w:rsid w:val="00291C67"/>
    <w:rsid w:val="002953B5"/>
    <w:rsid w:val="0029643C"/>
    <w:rsid w:val="00297B97"/>
    <w:rsid w:val="002A33E3"/>
    <w:rsid w:val="002A5B84"/>
    <w:rsid w:val="002A5FCD"/>
    <w:rsid w:val="002A72DB"/>
    <w:rsid w:val="002B0D27"/>
    <w:rsid w:val="002B3E19"/>
    <w:rsid w:val="002B4D97"/>
    <w:rsid w:val="002B7754"/>
    <w:rsid w:val="002C2E3F"/>
    <w:rsid w:val="002C5270"/>
    <w:rsid w:val="002C6A53"/>
    <w:rsid w:val="002C6C58"/>
    <w:rsid w:val="002D0058"/>
    <w:rsid w:val="002D643F"/>
    <w:rsid w:val="002D668B"/>
    <w:rsid w:val="002E7D86"/>
    <w:rsid w:val="002F214B"/>
    <w:rsid w:val="002F3600"/>
    <w:rsid w:val="002F5B2F"/>
    <w:rsid w:val="002F6E69"/>
    <w:rsid w:val="002F70CD"/>
    <w:rsid w:val="003037A8"/>
    <w:rsid w:val="00303CD2"/>
    <w:rsid w:val="0030618E"/>
    <w:rsid w:val="00311609"/>
    <w:rsid w:val="003127C6"/>
    <w:rsid w:val="003169EC"/>
    <w:rsid w:val="00320287"/>
    <w:rsid w:val="00320C70"/>
    <w:rsid w:val="0032138B"/>
    <w:rsid w:val="00321F61"/>
    <w:rsid w:val="0032799C"/>
    <w:rsid w:val="00331498"/>
    <w:rsid w:val="003363EC"/>
    <w:rsid w:val="00336480"/>
    <w:rsid w:val="00342678"/>
    <w:rsid w:val="00343A80"/>
    <w:rsid w:val="00343C23"/>
    <w:rsid w:val="00344A80"/>
    <w:rsid w:val="00346313"/>
    <w:rsid w:val="0034718E"/>
    <w:rsid w:val="003501B3"/>
    <w:rsid w:val="0035069E"/>
    <w:rsid w:val="00350DB4"/>
    <w:rsid w:val="00351A1F"/>
    <w:rsid w:val="003529F1"/>
    <w:rsid w:val="00353B0D"/>
    <w:rsid w:val="00355842"/>
    <w:rsid w:val="00355A28"/>
    <w:rsid w:val="00356398"/>
    <w:rsid w:val="00356BB1"/>
    <w:rsid w:val="003635E1"/>
    <w:rsid w:val="00363E9D"/>
    <w:rsid w:val="00364EB8"/>
    <w:rsid w:val="00365C39"/>
    <w:rsid w:val="003664BE"/>
    <w:rsid w:val="00370B92"/>
    <w:rsid w:val="00370F9B"/>
    <w:rsid w:val="00375B51"/>
    <w:rsid w:val="00376F15"/>
    <w:rsid w:val="00376F6E"/>
    <w:rsid w:val="003772F0"/>
    <w:rsid w:val="00384611"/>
    <w:rsid w:val="0038694C"/>
    <w:rsid w:val="0039558D"/>
    <w:rsid w:val="00395E78"/>
    <w:rsid w:val="003A0DBF"/>
    <w:rsid w:val="003A245C"/>
    <w:rsid w:val="003B1D9D"/>
    <w:rsid w:val="003B4580"/>
    <w:rsid w:val="003B4E5D"/>
    <w:rsid w:val="003B4FD3"/>
    <w:rsid w:val="003C1272"/>
    <w:rsid w:val="003C1315"/>
    <w:rsid w:val="003C25D0"/>
    <w:rsid w:val="003C50C6"/>
    <w:rsid w:val="003C52F8"/>
    <w:rsid w:val="003C7F3C"/>
    <w:rsid w:val="003D3297"/>
    <w:rsid w:val="003D37B5"/>
    <w:rsid w:val="003D3ADB"/>
    <w:rsid w:val="003D3AE1"/>
    <w:rsid w:val="003D477D"/>
    <w:rsid w:val="003D752E"/>
    <w:rsid w:val="003D779C"/>
    <w:rsid w:val="003E05EA"/>
    <w:rsid w:val="003E1CB8"/>
    <w:rsid w:val="003E6586"/>
    <w:rsid w:val="003F63CD"/>
    <w:rsid w:val="003F7C7E"/>
    <w:rsid w:val="004006F8"/>
    <w:rsid w:val="004017D1"/>
    <w:rsid w:val="004023AD"/>
    <w:rsid w:val="00410007"/>
    <w:rsid w:val="00414039"/>
    <w:rsid w:val="00422511"/>
    <w:rsid w:val="00423B20"/>
    <w:rsid w:val="00426557"/>
    <w:rsid w:val="004279D1"/>
    <w:rsid w:val="004313AB"/>
    <w:rsid w:val="00432170"/>
    <w:rsid w:val="00432535"/>
    <w:rsid w:val="00434CAB"/>
    <w:rsid w:val="00434EE6"/>
    <w:rsid w:val="00436430"/>
    <w:rsid w:val="00437535"/>
    <w:rsid w:val="004404B1"/>
    <w:rsid w:val="00442445"/>
    <w:rsid w:val="004427C0"/>
    <w:rsid w:val="00444104"/>
    <w:rsid w:val="00446375"/>
    <w:rsid w:val="00450312"/>
    <w:rsid w:val="00450C6F"/>
    <w:rsid w:val="004526AD"/>
    <w:rsid w:val="00452B00"/>
    <w:rsid w:val="00452FC9"/>
    <w:rsid w:val="00453631"/>
    <w:rsid w:val="004539AF"/>
    <w:rsid w:val="00453ABB"/>
    <w:rsid w:val="00455B45"/>
    <w:rsid w:val="00463272"/>
    <w:rsid w:val="00463400"/>
    <w:rsid w:val="00467C59"/>
    <w:rsid w:val="004708D3"/>
    <w:rsid w:val="004717C0"/>
    <w:rsid w:val="004717DD"/>
    <w:rsid w:val="004746E6"/>
    <w:rsid w:val="00477961"/>
    <w:rsid w:val="00477DC3"/>
    <w:rsid w:val="00480002"/>
    <w:rsid w:val="004828B2"/>
    <w:rsid w:val="00483368"/>
    <w:rsid w:val="00485B58"/>
    <w:rsid w:val="00486549"/>
    <w:rsid w:val="004873DF"/>
    <w:rsid w:val="00492BDD"/>
    <w:rsid w:val="0049355B"/>
    <w:rsid w:val="00493D52"/>
    <w:rsid w:val="004A02FE"/>
    <w:rsid w:val="004A1C9E"/>
    <w:rsid w:val="004A417D"/>
    <w:rsid w:val="004A4872"/>
    <w:rsid w:val="004B2A8A"/>
    <w:rsid w:val="004B604E"/>
    <w:rsid w:val="004B7A53"/>
    <w:rsid w:val="004C013B"/>
    <w:rsid w:val="004C0739"/>
    <w:rsid w:val="004C0B04"/>
    <w:rsid w:val="004C0BB8"/>
    <w:rsid w:val="004C4064"/>
    <w:rsid w:val="004C59D7"/>
    <w:rsid w:val="004C7626"/>
    <w:rsid w:val="004C7A95"/>
    <w:rsid w:val="004D08D2"/>
    <w:rsid w:val="004D140B"/>
    <w:rsid w:val="004D15B3"/>
    <w:rsid w:val="004D2BBF"/>
    <w:rsid w:val="004D36F2"/>
    <w:rsid w:val="004D4942"/>
    <w:rsid w:val="004D760B"/>
    <w:rsid w:val="004E201E"/>
    <w:rsid w:val="004E6D92"/>
    <w:rsid w:val="004F1BF0"/>
    <w:rsid w:val="004F2CF3"/>
    <w:rsid w:val="004F3F17"/>
    <w:rsid w:val="004F68E1"/>
    <w:rsid w:val="004F6DF0"/>
    <w:rsid w:val="004F7A9E"/>
    <w:rsid w:val="00502E3E"/>
    <w:rsid w:val="00504B99"/>
    <w:rsid w:val="005053DC"/>
    <w:rsid w:val="0050684C"/>
    <w:rsid w:val="00516C29"/>
    <w:rsid w:val="00522051"/>
    <w:rsid w:val="00524EF6"/>
    <w:rsid w:val="00526FD1"/>
    <w:rsid w:val="005360B6"/>
    <w:rsid w:val="00537705"/>
    <w:rsid w:val="005419B6"/>
    <w:rsid w:val="005420BE"/>
    <w:rsid w:val="00542D2D"/>
    <w:rsid w:val="00545917"/>
    <w:rsid w:val="005459B8"/>
    <w:rsid w:val="00546BA4"/>
    <w:rsid w:val="00551DEB"/>
    <w:rsid w:val="005543F3"/>
    <w:rsid w:val="0055644B"/>
    <w:rsid w:val="00556A03"/>
    <w:rsid w:val="005622A9"/>
    <w:rsid w:val="00562B45"/>
    <w:rsid w:val="00563F45"/>
    <w:rsid w:val="0057168E"/>
    <w:rsid w:val="00576605"/>
    <w:rsid w:val="00577303"/>
    <w:rsid w:val="00580B4E"/>
    <w:rsid w:val="00583A1C"/>
    <w:rsid w:val="00583E35"/>
    <w:rsid w:val="005863C3"/>
    <w:rsid w:val="00587298"/>
    <w:rsid w:val="00590939"/>
    <w:rsid w:val="0059105F"/>
    <w:rsid w:val="00591AE5"/>
    <w:rsid w:val="00593320"/>
    <w:rsid w:val="0059759F"/>
    <w:rsid w:val="005A093B"/>
    <w:rsid w:val="005A2C1A"/>
    <w:rsid w:val="005A4C8F"/>
    <w:rsid w:val="005A57DD"/>
    <w:rsid w:val="005A7CCC"/>
    <w:rsid w:val="005B0869"/>
    <w:rsid w:val="005B3849"/>
    <w:rsid w:val="005B5189"/>
    <w:rsid w:val="005B5C39"/>
    <w:rsid w:val="005B6A75"/>
    <w:rsid w:val="005C1574"/>
    <w:rsid w:val="005C1656"/>
    <w:rsid w:val="005C4BE4"/>
    <w:rsid w:val="005C4C75"/>
    <w:rsid w:val="005C7AD1"/>
    <w:rsid w:val="005D0CF5"/>
    <w:rsid w:val="005D7CA9"/>
    <w:rsid w:val="005E4127"/>
    <w:rsid w:val="005F0518"/>
    <w:rsid w:val="005F30BA"/>
    <w:rsid w:val="005F4A10"/>
    <w:rsid w:val="005F79DC"/>
    <w:rsid w:val="005F7FBC"/>
    <w:rsid w:val="006030C2"/>
    <w:rsid w:val="00603219"/>
    <w:rsid w:val="00604436"/>
    <w:rsid w:val="00605F49"/>
    <w:rsid w:val="00613D0F"/>
    <w:rsid w:val="00614E6E"/>
    <w:rsid w:val="00615319"/>
    <w:rsid w:val="00627A2D"/>
    <w:rsid w:val="00630385"/>
    <w:rsid w:val="00635D9F"/>
    <w:rsid w:val="006408F7"/>
    <w:rsid w:val="00641526"/>
    <w:rsid w:val="00641541"/>
    <w:rsid w:val="00641A49"/>
    <w:rsid w:val="00641BDE"/>
    <w:rsid w:val="00642BF7"/>
    <w:rsid w:val="00643510"/>
    <w:rsid w:val="006453F7"/>
    <w:rsid w:val="00645AF5"/>
    <w:rsid w:val="0064660A"/>
    <w:rsid w:val="0064735E"/>
    <w:rsid w:val="00647E81"/>
    <w:rsid w:val="00650BAC"/>
    <w:rsid w:val="00653501"/>
    <w:rsid w:val="00656552"/>
    <w:rsid w:val="00656F0A"/>
    <w:rsid w:val="006571D1"/>
    <w:rsid w:val="006620D3"/>
    <w:rsid w:val="00662214"/>
    <w:rsid w:val="00665752"/>
    <w:rsid w:val="00671C22"/>
    <w:rsid w:val="00673940"/>
    <w:rsid w:val="00674E23"/>
    <w:rsid w:val="00676FD2"/>
    <w:rsid w:val="006835E4"/>
    <w:rsid w:val="00685F43"/>
    <w:rsid w:val="00686845"/>
    <w:rsid w:val="00693FF9"/>
    <w:rsid w:val="00695486"/>
    <w:rsid w:val="00696AAA"/>
    <w:rsid w:val="006A025F"/>
    <w:rsid w:val="006A03E2"/>
    <w:rsid w:val="006A2F42"/>
    <w:rsid w:val="006A71B8"/>
    <w:rsid w:val="006B0A2F"/>
    <w:rsid w:val="006B1364"/>
    <w:rsid w:val="006B2871"/>
    <w:rsid w:val="006B2ED6"/>
    <w:rsid w:val="006B3E54"/>
    <w:rsid w:val="006B7ECE"/>
    <w:rsid w:val="006C2B75"/>
    <w:rsid w:val="006C30E6"/>
    <w:rsid w:val="006C4118"/>
    <w:rsid w:val="006C4EA9"/>
    <w:rsid w:val="006C5707"/>
    <w:rsid w:val="006C5A8E"/>
    <w:rsid w:val="006D1816"/>
    <w:rsid w:val="006D5645"/>
    <w:rsid w:val="006D5EAD"/>
    <w:rsid w:val="006D6674"/>
    <w:rsid w:val="006E3119"/>
    <w:rsid w:val="006E448B"/>
    <w:rsid w:val="006E54E5"/>
    <w:rsid w:val="006E6091"/>
    <w:rsid w:val="006F0F4A"/>
    <w:rsid w:val="006F6773"/>
    <w:rsid w:val="006F6C91"/>
    <w:rsid w:val="007026CD"/>
    <w:rsid w:val="0070481B"/>
    <w:rsid w:val="00704C3A"/>
    <w:rsid w:val="00710346"/>
    <w:rsid w:val="00711FB5"/>
    <w:rsid w:val="00711FC7"/>
    <w:rsid w:val="0072494A"/>
    <w:rsid w:val="00730CB0"/>
    <w:rsid w:val="007310D2"/>
    <w:rsid w:val="007320CD"/>
    <w:rsid w:val="00734D86"/>
    <w:rsid w:val="007364BB"/>
    <w:rsid w:val="00736C4F"/>
    <w:rsid w:val="00742C6B"/>
    <w:rsid w:val="00742FF3"/>
    <w:rsid w:val="00753819"/>
    <w:rsid w:val="00754292"/>
    <w:rsid w:val="00755799"/>
    <w:rsid w:val="00757506"/>
    <w:rsid w:val="00757B19"/>
    <w:rsid w:val="0076203F"/>
    <w:rsid w:val="00772B32"/>
    <w:rsid w:val="0077444E"/>
    <w:rsid w:val="0077530D"/>
    <w:rsid w:val="0077690A"/>
    <w:rsid w:val="0078025E"/>
    <w:rsid w:val="00781AB5"/>
    <w:rsid w:val="00781B6B"/>
    <w:rsid w:val="00782E03"/>
    <w:rsid w:val="00786049"/>
    <w:rsid w:val="007861EA"/>
    <w:rsid w:val="007925A8"/>
    <w:rsid w:val="00792AAD"/>
    <w:rsid w:val="00793741"/>
    <w:rsid w:val="00796C5F"/>
    <w:rsid w:val="007A05D6"/>
    <w:rsid w:val="007A4E5A"/>
    <w:rsid w:val="007B21D5"/>
    <w:rsid w:val="007B2D92"/>
    <w:rsid w:val="007B3EFE"/>
    <w:rsid w:val="007B43F0"/>
    <w:rsid w:val="007B447A"/>
    <w:rsid w:val="007B4EEC"/>
    <w:rsid w:val="007C0150"/>
    <w:rsid w:val="007C158D"/>
    <w:rsid w:val="007C3A5B"/>
    <w:rsid w:val="007C5AD1"/>
    <w:rsid w:val="007C6B7C"/>
    <w:rsid w:val="007D45D8"/>
    <w:rsid w:val="007D4984"/>
    <w:rsid w:val="007E022C"/>
    <w:rsid w:val="007E1944"/>
    <w:rsid w:val="007E2BEE"/>
    <w:rsid w:val="007E2BF2"/>
    <w:rsid w:val="007E3818"/>
    <w:rsid w:val="007E66F4"/>
    <w:rsid w:val="007F09BA"/>
    <w:rsid w:val="007F3275"/>
    <w:rsid w:val="007F5471"/>
    <w:rsid w:val="007F58D0"/>
    <w:rsid w:val="00804203"/>
    <w:rsid w:val="00805CA0"/>
    <w:rsid w:val="00806233"/>
    <w:rsid w:val="00811148"/>
    <w:rsid w:val="008111C9"/>
    <w:rsid w:val="00812B1F"/>
    <w:rsid w:val="0081329C"/>
    <w:rsid w:val="00814ED4"/>
    <w:rsid w:val="00817EE9"/>
    <w:rsid w:val="008204D6"/>
    <w:rsid w:val="0082088D"/>
    <w:rsid w:val="008218C9"/>
    <w:rsid w:val="008243A9"/>
    <w:rsid w:val="0083203D"/>
    <w:rsid w:val="008325E6"/>
    <w:rsid w:val="00835415"/>
    <w:rsid w:val="00841D12"/>
    <w:rsid w:val="008459C7"/>
    <w:rsid w:val="00847FD7"/>
    <w:rsid w:val="008508F0"/>
    <w:rsid w:val="00850F5B"/>
    <w:rsid w:val="00852736"/>
    <w:rsid w:val="00856354"/>
    <w:rsid w:val="00860EA3"/>
    <w:rsid w:val="00863041"/>
    <w:rsid w:val="0086406B"/>
    <w:rsid w:val="00866887"/>
    <w:rsid w:val="00871505"/>
    <w:rsid w:val="00871867"/>
    <w:rsid w:val="00872F02"/>
    <w:rsid w:val="0087312E"/>
    <w:rsid w:val="00874B99"/>
    <w:rsid w:val="00877A48"/>
    <w:rsid w:val="00880610"/>
    <w:rsid w:val="008808FA"/>
    <w:rsid w:val="00881D30"/>
    <w:rsid w:val="008824D0"/>
    <w:rsid w:val="00882F54"/>
    <w:rsid w:val="00884A65"/>
    <w:rsid w:val="00885349"/>
    <w:rsid w:val="00886ABD"/>
    <w:rsid w:val="008872AB"/>
    <w:rsid w:val="008874BD"/>
    <w:rsid w:val="008921DB"/>
    <w:rsid w:val="008A082E"/>
    <w:rsid w:val="008A47D2"/>
    <w:rsid w:val="008A672D"/>
    <w:rsid w:val="008A6FEC"/>
    <w:rsid w:val="008B1782"/>
    <w:rsid w:val="008B3A86"/>
    <w:rsid w:val="008B5EEA"/>
    <w:rsid w:val="008B6861"/>
    <w:rsid w:val="008B7397"/>
    <w:rsid w:val="008C2431"/>
    <w:rsid w:val="008C46FC"/>
    <w:rsid w:val="008C55B0"/>
    <w:rsid w:val="008C625F"/>
    <w:rsid w:val="008C6898"/>
    <w:rsid w:val="008D39AA"/>
    <w:rsid w:val="008D3FBC"/>
    <w:rsid w:val="008D4289"/>
    <w:rsid w:val="008D5F14"/>
    <w:rsid w:val="008D6FB6"/>
    <w:rsid w:val="008E1DF2"/>
    <w:rsid w:val="008E2691"/>
    <w:rsid w:val="008E3D60"/>
    <w:rsid w:val="008E7B58"/>
    <w:rsid w:val="008F1203"/>
    <w:rsid w:val="008F3540"/>
    <w:rsid w:val="008F6927"/>
    <w:rsid w:val="008F7FF0"/>
    <w:rsid w:val="009021E6"/>
    <w:rsid w:val="00903275"/>
    <w:rsid w:val="00903810"/>
    <w:rsid w:val="00904230"/>
    <w:rsid w:val="00904BBC"/>
    <w:rsid w:val="0090673B"/>
    <w:rsid w:val="00907530"/>
    <w:rsid w:val="00907D99"/>
    <w:rsid w:val="00911755"/>
    <w:rsid w:val="00914B9E"/>
    <w:rsid w:val="00921F27"/>
    <w:rsid w:val="00922BDA"/>
    <w:rsid w:val="009233DE"/>
    <w:rsid w:val="009252E8"/>
    <w:rsid w:val="00925FC2"/>
    <w:rsid w:val="00931930"/>
    <w:rsid w:val="0093206F"/>
    <w:rsid w:val="009342C4"/>
    <w:rsid w:val="009347B7"/>
    <w:rsid w:val="00935CC9"/>
    <w:rsid w:val="009363E9"/>
    <w:rsid w:val="0094223B"/>
    <w:rsid w:val="009501D6"/>
    <w:rsid w:val="009528CB"/>
    <w:rsid w:val="00956302"/>
    <w:rsid w:val="00956C69"/>
    <w:rsid w:val="00962540"/>
    <w:rsid w:val="00966727"/>
    <w:rsid w:val="00966A7F"/>
    <w:rsid w:val="00975877"/>
    <w:rsid w:val="00977C47"/>
    <w:rsid w:val="009810A2"/>
    <w:rsid w:val="00981AA3"/>
    <w:rsid w:val="00983212"/>
    <w:rsid w:val="009850CB"/>
    <w:rsid w:val="009864B1"/>
    <w:rsid w:val="0098736E"/>
    <w:rsid w:val="00987759"/>
    <w:rsid w:val="009A3B63"/>
    <w:rsid w:val="009A40D7"/>
    <w:rsid w:val="009A658E"/>
    <w:rsid w:val="009B2AA1"/>
    <w:rsid w:val="009B4888"/>
    <w:rsid w:val="009B7CC5"/>
    <w:rsid w:val="009C04E3"/>
    <w:rsid w:val="009C0E17"/>
    <w:rsid w:val="009C39C4"/>
    <w:rsid w:val="009C5B85"/>
    <w:rsid w:val="009C6227"/>
    <w:rsid w:val="009C6C3F"/>
    <w:rsid w:val="009D04E1"/>
    <w:rsid w:val="009D06EE"/>
    <w:rsid w:val="009D1F04"/>
    <w:rsid w:val="009D6506"/>
    <w:rsid w:val="009D6621"/>
    <w:rsid w:val="009D741F"/>
    <w:rsid w:val="009E006D"/>
    <w:rsid w:val="009E08A3"/>
    <w:rsid w:val="009E19B7"/>
    <w:rsid w:val="009E1C3B"/>
    <w:rsid w:val="009E42A9"/>
    <w:rsid w:val="009E610A"/>
    <w:rsid w:val="009E7AEE"/>
    <w:rsid w:val="009F07FA"/>
    <w:rsid w:val="009F114D"/>
    <w:rsid w:val="009F3F38"/>
    <w:rsid w:val="00A00936"/>
    <w:rsid w:val="00A00FAD"/>
    <w:rsid w:val="00A02225"/>
    <w:rsid w:val="00A0462D"/>
    <w:rsid w:val="00A0500A"/>
    <w:rsid w:val="00A05411"/>
    <w:rsid w:val="00A1213A"/>
    <w:rsid w:val="00A13821"/>
    <w:rsid w:val="00A14D77"/>
    <w:rsid w:val="00A160BB"/>
    <w:rsid w:val="00A169CF"/>
    <w:rsid w:val="00A22D2A"/>
    <w:rsid w:val="00A22F04"/>
    <w:rsid w:val="00A26E3B"/>
    <w:rsid w:val="00A30B4F"/>
    <w:rsid w:val="00A3322D"/>
    <w:rsid w:val="00A33CF8"/>
    <w:rsid w:val="00A352E8"/>
    <w:rsid w:val="00A363F0"/>
    <w:rsid w:val="00A36F66"/>
    <w:rsid w:val="00A4243B"/>
    <w:rsid w:val="00A42C44"/>
    <w:rsid w:val="00A44530"/>
    <w:rsid w:val="00A45768"/>
    <w:rsid w:val="00A474AC"/>
    <w:rsid w:val="00A50867"/>
    <w:rsid w:val="00A52B59"/>
    <w:rsid w:val="00A5545E"/>
    <w:rsid w:val="00A55852"/>
    <w:rsid w:val="00A56F22"/>
    <w:rsid w:val="00A61DBF"/>
    <w:rsid w:val="00A630AC"/>
    <w:rsid w:val="00A63BF5"/>
    <w:rsid w:val="00A65636"/>
    <w:rsid w:val="00A66201"/>
    <w:rsid w:val="00A66A13"/>
    <w:rsid w:val="00A66FEE"/>
    <w:rsid w:val="00A71186"/>
    <w:rsid w:val="00A74774"/>
    <w:rsid w:val="00A77940"/>
    <w:rsid w:val="00A80424"/>
    <w:rsid w:val="00A81904"/>
    <w:rsid w:val="00A81CA5"/>
    <w:rsid w:val="00A822C9"/>
    <w:rsid w:val="00A832CA"/>
    <w:rsid w:val="00A84A8E"/>
    <w:rsid w:val="00A8679E"/>
    <w:rsid w:val="00A8787D"/>
    <w:rsid w:val="00A9407D"/>
    <w:rsid w:val="00A97C38"/>
    <w:rsid w:val="00AA3DB9"/>
    <w:rsid w:val="00AB06E2"/>
    <w:rsid w:val="00AB5AD9"/>
    <w:rsid w:val="00AB5DF3"/>
    <w:rsid w:val="00AC307C"/>
    <w:rsid w:val="00AC40DF"/>
    <w:rsid w:val="00AD0943"/>
    <w:rsid w:val="00AD3821"/>
    <w:rsid w:val="00AD7113"/>
    <w:rsid w:val="00AE0C98"/>
    <w:rsid w:val="00AE1913"/>
    <w:rsid w:val="00AE1D04"/>
    <w:rsid w:val="00AE1F9E"/>
    <w:rsid w:val="00AE5A7A"/>
    <w:rsid w:val="00AF100B"/>
    <w:rsid w:val="00AF4802"/>
    <w:rsid w:val="00AF4EF3"/>
    <w:rsid w:val="00AF575F"/>
    <w:rsid w:val="00AF6223"/>
    <w:rsid w:val="00B02139"/>
    <w:rsid w:val="00B040B3"/>
    <w:rsid w:val="00B04521"/>
    <w:rsid w:val="00B06EA6"/>
    <w:rsid w:val="00B103AC"/>
    <w:rsid w:val="00B11516"/>
    <w:rsid w:val="00B11944"/>
    <w:rsid w:val="00B17D5F"/>
    <w:rsid w:val="00B2053E"/>
    <w:rsid w:val="00B206D8"/>
    <w:rsid w:val="00B2331C"/>
    <w:rsid w:val="00B23347"/>
    <w:rsid w:val="00B252F5"/>
    <w:rsid w:val="00B260D3"/>
    <w:rsid w:val="00B267CB"/>
    <w:rsid w:val="00B30F27"/>
    <w:rsid w:val="00B31DAB"/>
    <w:rsid w:val="00B3537D"/>
    <w:rsid w:val="00B35EED"/>
    <w:rsid w:val="00B364FA"/>
    <w:rsid w:val="00B423E5"/>
    <w:rsid w:val="00B50383"/>
    <w:rsid w:val="00B51B61"/>
    <w:rsid w:val="00B541BC"/>
    <w:rsid w:val="00B5705F"/>
    <w:rsid w:val="00B60F0B"/>
    <w:rsid w:val="00B62D23"/>
    <w:rsid w:val="00B64202"/>
    <w:rsid w:val="00B664B3"/>
    <w:rsid w:val="00B70E50"/>
    <w:rsid w:val="00B71376"/>
    <w:rsid w:val="00B77DED"/>
    <w:rsid w:val="00B82499"/>
    <w:rsid w:val="00B85784"/>
    <w:rsid w:val="00B917F9"/>
    <w:rsid w:val="00B92F8A"/>
    <w:rsid w:val="00B9527F"/>
    <w:rsid w:val="00B9552B"/>
    <w:rsid w:val="00B95970"/>
    <w:rsid w:val="00BA35AD"/>
    <w:rsid w:val="00BA507B"/>
    <w:rsid w:val="00BA54D3"/>
    <w:rsid w:val="00BA609E"/>
    <w:rsid w:val="00BA643F"/>
    <w:rsid w:val="00BB0F27"/>
    <w:rsid w:val="00BB11DB"/>
    <w:rsid w:val="00BC15CE"/>
    <w:rsid w:val="00BC2109"/>
    <w:rsid w:val="00BC2CA1"/>
    <w:rsid w:val="00BC4140"/>
    <w:rsid w:val="00BC52E8"/>
    <w:rsid w:val="00BC5FDB"/>
    <w:rsid w:val="00BC6D0D"/>
    <w:rsid w:val="00BC7DAE"/>
    <w:rsid w:val="00BD09C6"/>
    <w:rsid w:val="00BD2DF8"/>
    <w:rsid w:val="00BD308F"/>
    <w:rsid w:val="00BD4102"/>
    <w:rsid w:val="00BD7213"/>
    <w:rsid w:val="00BD7924"/>
    <w:rsid w:val="00BE0AFF"/>
    <w:rsid w:val="00BE1499"/>
    <w:rsid w:val="00BE2C57"/>
    <w:rsid w:val="00BE37C6"/>
    <w:rsid w:val="00BE7D7E"/>
    <w:rsid w:val="00BF108B"/>
    <w:rsid w:val="00BF26E6"/>
    <w:rsid w:val="00BF27E1"/>
    <w:rsid w:val="00BF64BB"/>
    <w:rsid w:val="00C022DC"/>
    <w:rsid w:val="00C10641"/>
    <w:rsid w:val="00C11D8F"/>
    <w:rsid w:val="00C140ED"/>
    <w:rsid w:val="00C14B75"/>
    <w:rsid w:val="00C15AB0"/>
    <w:rsid w:val="00C1650F"/>
    <w:rsid w:val="00C17896"/>
    <w:rsid w:val="00C2047F"/>
    <w:rsid w:val="00C204ED"/>
    <w:rsid w:val="00C22703"/>
    <w:rsid w:val="00C22E9B"/>
    <w:rsid w:val="00C24CCB"/>
    <w:rsid w:val="00C26A4F"/>
    <w:rsid w:val="00C30180"/>
    <w:rsid w:val="00C31A22"/>
    <w:rsid w:val="00C352D4"/>
    <w:rsid w:val="00C352FA"/>
    <w:rsid w:val="00C50842"/>
    <w:rsid w:val="00C51750"/>
    <w:rsid w:val="00C52757"/>
    <w:rsid w:val="00C533B1"/>
    <w:rsid w:val="00C57FD1"/>
    <w:rsid w:val="00C63DD3"/>
    <w:rsid w:val="00C63EA4"/>
    <w:rsid w:val="00C679B2"/>
    <w:rsid w:val="00C67FF5"/>
    <w:rsid w:val="00C7137D"/>
    <w:rsid w:val="00C736B8"/>
    <w:rsid w:val="00C7386C"/>
    <w:rsid w:val="00C7655B"/>
    <w:rsid w:val="00C80C0F"/>
    <w:rsid w:val="00C811EE"/>
    <w:rsid w:val="00C82A33"/>
    <w:rsid w:val="00C8494B"/>
    <w:rsid w:val="00C92F25"/>
    <w:rsid w:val="00C96556"/>
    <w:rsid w:val="00C978FC"/>
    <w:rsid w:val="00CA115A"/>
    <w:rsid w:val="00CA14CF"/>
    <w:rsid w:val="00CA1814"/>
    <w:rsid w:val="00CA6B21"/>
    <w:rsid w:val="00CA7713"/>
    <w:rsid w:val="00CB3576"/>
    <w:rsid w:val="00CB58DA"/>
    <w:rsid w:val="00CC4C70"/>
    <w:rsid w:val="00CC7632"/>
    <w:rsid w:val="00CE0643"/>
    <w:rsid w:val="00CE153E"/>
    <w:rsid w:val="00CE16EB"/>
    <w:rsid w:val="00CE1837"/>
    <w:rsid w:val="00CE36F8"/>
    <w:rsid w:val="00CE67B9"/>
    <w:rsid w:val="00CE6C81"/>
    <w:rsid w:val="00CF0306"/>
    <w:rsid w:val="00CF2A25"/>
    <w:rsid w:val="00CF4419"/>
    <w:rsid w:val="00CF7FCC"/>
    <w:rsid w:val="00D00B4F"/>
    <w:rsid w:val="00D06007"/>
    <w:rsid w:val="00D06B8A"/>
    <w:rsid w:val="00D10E87"/>
    <w:rsid w:val="00D118AD"/>
    <w:rsid w:val="00D11A5B"/>
    <w:rsid w:val="00D12CF1"/>
    <w:rsid w:val="00D12E36"/>
    <w:rsid w:val="00D13705"/>
    <w:rsid w:val="00D20AA2"/>
    <w:rsid w:val="00D25FAE"/>
    <w:rsid w:val="00D35002"/>
    <w:rsid w:val="00D36126"/>
    <w:rsid w:val="00D369AD"/>
    <w:rsid w:val="00D44127"/>
    <w:rsid w:val="00D453C9"/>
    <w:rsid w:val="00D46A6C"/>
    <w:rsid w:val="00D50A91"/>
    <w:rsid w:val="00D52402"/>
    <w:rsid w:val="00D5396E"/>
    <w:rsid w:val="00D53FD9"/>
    <w:rsid w:val="00D5462F"/>
    <w:rsid w:val="00D54DE1"/>
    <w:rsid w:val="00D572FF"/>
    <w:rsid w:val="00D573AC"/>
    <w:rsid w:val="00D615E2"/>
    <w:rsid w:val="00D6265D"/>
    <w:rsid w:val="00D63750"/>
    <w:rsid w:val="00D7144A"/>
    <w:rsid w:val="00D74176"/>
    <w:rsid w:val="00D74FC5"/>
    <w:rsid w:val="00D758EA"/>
    <w:rsid w:val="00D77AC7"/>
    <w:rsid w:val="00D80B3F"/>
    <w:rsid w:val="00D85AFF"/>
    <w:rsid w:val="00D87182"/>
    <w:rsid w:val="00D87CC1"/>
    <w:rsid w:val="00D92E65"/>
    <w:rsid w:val="00D95A6A"/>
    <w:rsid w:val="00DA4202"/>
    <w:rsid w:val="00DA61A8"/>
    <w:rsid w:val="00DA6754"/>
    <w:rsid w:val="00DA6841"/>
    <w:rsid w:val="00DB1003"/>
    <w:rsid w:val="00DB1FCC"/>
    <w:rsid w:val="00DB301E"/>
    <w:rsid w:val="00DB366C"/>
    <w:rsid w:val="00DB4022"/>
    <w:rsid w:val="00DB736C"/>
    <w:rsid w:val="00DC075B"/>
    <w:rsid w:val="00DC1200"/>
    <w:rsid w:val="00DC29E4"/>
    <w:rsid w:val="00DC5FC4"/>
    <w:rsid w:val="00DC6174"/>
    <w:rsid w:val="00DC676E"/>
    <w:rsid w:val="00DC79B1"/>
    <w:rsid w:val="00DC7B90"/>
    <w:rsid w:val="00DD2D1F"/>
    <w:rsid w:val="00DD4A01"/>
    <w:rsid w:val="00DD62F3"/>
    <w:rsid w:val="00DD766D"/>
    <w:rsid w:val="00DD78D4"/>
    <w:rsid w:val="00DE3707"/>
    <w:rsid w:val="00DE39A5"/>
    <w:rsid w:val="00DF08CD"/>
    <w:rsid w:val="00DF0F4D"/>
    <w:rsid w:val="00DF2B92"/>
    <w:rsid w:val="00DF47A9"/>
    <w:rsid w:val="00DF64C8"/>
    <w:rsid w:val="00DF6E9D"/>
    <w:rsid w:val="00E0081F"/>
    <w:rsid w:val="00E0242F"/>
    <w:rsid w:val="00E032B7"/>
    <w:rsid w:val="00E0643C"/>
    <w:rsid w:val="00E106B3"/>
    <w:rsid w:val="00E112EE"/>
    <w:rsid w:val="00E1149A"/>
    <w:rsid w:val="00E14C3A"/>
    <w:rsid w:val="00E14F22"/>
    <w:rsid w:val="00E155F7"/>
    <w:rsid w:val="00E178AC"/>
    <w:rsid w:val="00E2451C"/>
    <w:rsid w:val="00E3022A"/>
    <w:rsid w:val="00E3366D"/>
    <w:rsid w:val="00E33B07"/>
    <w:rsid w:val="00E34079"/>
    <w:rsid w:val="00E3755E"/>
    <w:rsid w:val="00E40DA9"/>
    <w:rsid w:val="00E5114D"/>
    <w:rsid w:val="00E53772"/>
    <w:rsid w:val="00E57227"/>
    <w:rsid w:val="00E617E5"/>
    <w:rsid w:val="00E667F4"/>
    <w:rsid w:val="00E670F6"/>
    <w:rsid w:val="00E74DD7"/>
    <w:rsid w:val="00E7515A"/>
    <w:rsid w:val="00E761A8"/>
    <w:rsid w:val="00E766A1"/>
    <w:rsid w:val="00E81E89"/>
    <w:rsid w:val="00E83360"/>
    <w:rsid w:val="00E85AA2"/>
    <w:rsid w:val="00E869B6"/>
    <w:rsid w:val="00E86CFE"/>
    <w:rsid w:val="00E874BB"/>
    <w:rsid w:val="00E87A9F"/>
    <w:rsid w:val="00E87FC7"/>
    <w:rsid w:val="00E90836"/>
    <w:rsid w:val="00E925AC"/>
    <w:rsid w:val="00E977C7"/>
    <w:rsid w:val="00EA0118"/>
    <w:rsid w:val="00EA2251"/>
    <w:rsid w:val="00EA2C92"/>
    <w:rsid w:val="00EA3810"/>
    <w:rsid w:val="00EA7032"/>
    <w:rsid w:val="00EB12AE"/>
    <w:rsid w:val="00EB4861"/>
    <w:rsid w:val="00EB546B"/>
    <w:rsid w:val="00EB60D9"/>
    <w:rsid w:val="00EC4718"/>
    <w:rsid w:val="00EC4983"/>
    <w:rsid w:val="00EC4E1F"/>
    <w:rsid w:val="00EC6A5A"/>
    <w:rsid w:val="00ED2C3A"/>
    <w:rsid w:val="00ED3701"/>
    <w:rsid w:val="00ED4CDB"/>
    <w:rsid w:val="00ED7FD7"/>
    <w:rsid w:val="00EE04B3"/>
    <w:rsid w:val="00EE37F3"/>
    <w:rsid w:val="00EE3D99"/>
    <w:rsid w:val="00EE42FB"/>
    <w:rsid w:val="00EF0339"/>
    <w:rsid w:val="00EF0653"/>
    <w:rsid w:val="00EF211E"/>
    <w:rsid w:val="00EF2406"/>
    <w:rsid w:val="00EF54C2"/>
    <w:rsid w:val="00EF5C8A"/>
    <w:rsid w:val="00F00018"/>
    <w:rsid w:val="00F00188"/>
    <w:rsid w:val="00F03B07"/>
    <w:rsid w:val="00F10956"/>
    <w:rsid w:val="00F11E57"/>
    <w:rsid w:val="00F20E37"/>
    <w:rsid w:val="00F20F3B"/>
    <w:rsid w:val="00F2140C"/>
    <w:rsid w:val="00F2243E"/>
    <w:rsid w:val="00F27CC4"/>
    <w:rsid w:val="00F324A6"/>
    <w:rsid w:val="00F47B76"/>
    <w:rsid w:val="00F55390"/>
    <w:rsid w:val="00F568F5"/>
    <w:rsid w:val="00F632AA"/>
    <w:rsid w:val="00F670EC"/>
    <w:rsid w:val="00F67D41"/>
    <w:rsid w:val="00F7060E"/>
    <w:rsid w:val="00F73F75"/>
    <w:rsid w:val="00F74A27"/>
    <w:rsid w:val="00F75BEB"/>
    <w:rsid w:val="00F8009E"/>
    <w:rsid w:val="00F802FD"/>
    <w:rsid w:val="00F91978"/>
    <w:rsid w:val="00F944B3"/>
    <w:rsid w:val="00F96F04"/>
    <w:rsid w:val="00F9728B"/>
    <w:rsid w:val="00F97918"/>
    <w:rsid w:val="00FA2D7F"/>
    <w:rsid w:val="00FA6E63"/>
    <w:rsid w:val="00FB1C29"/>
    <w:rsid w:val="00FB1F80"/>
    <w:rsid w:val="00FB3EB3"/>
    <w:rsid w:val="00FB68E9"/>
    <w:rsid w:val="00FB704E"/>
    <w:rsid w:val="00FC1771"/>
    <w:rsid w:val="00FC2D97"/>
    <w:rsid w:val="00FC40F8"/>
    <w:rsid w:val="00FC468D"/>
    <w:rsid w:val="00FC658B"/>
    <w:rsid w:val="00FD2B38"/>
    <w:rsid w:val="00FD36ED"/>
    <w:rsid w:val="00FD3EFE"/>
    <w:rsid w:val="00FD4497"/>
    <w:rsid w:val="00FD4675"/>
    <w:rsid w:val="00FD4C6A"/>
    <w:rsid w:val="00FD5B21"/>
    <w:rsid w:val="00FD6F54"/>
    <w:rsid w:val="00FD78DD"/>
    <w:rsid w:val="00FE1421"/>
    <w:rsid w:val="00FE21AF"/>
    <w:rsid w:val="00FE4193"/>
    <w:rsid w:val="00FE6E7C"/>
    <w:rsid w:val="00FE70E2"/>
    <w:rsid w:val="00FF36B4"/>
    <w:rsid w:val="00FF47BE"/>
    <w:rsid w:val="00FF7A84"/>
    <w:rsid w:val="01C457E1"/>
    <w:rsid w:val="0C2356BE"/>
    <w:rsid w:val="121C3020"/>
    <w:rsid w:val="15912EC0"/>
    <w:rsid w:val="15A41708"/>
    <w:rsid w:val="18B42FF4"/>
    <w:rsid w:val="1A8B756E"/>
    <w:rsid w:val="1AC73AD6"/>
    <w:rsid w:val="1CBA108A"/>
    <w:rsid w:val="33034831"/>
    <w:rsid w:val="36DB0F4A"/>
    <w:rsid w:val="37DC1723"/>
    <w:rsid w:val="3B88485E"/>
    <w:rsid w:val="3E531828"/>
    <w:rsid w:val="3FDD1DD2"/>
    <w:rsid w:val="401E791F"/>
    <w:rsid w:val="40E4662D"/>
    <w:rsid w:val="42917B46"/>
    <w:rsid w:val="46820AD3"/>
    <w:rsid w:val="4CD406A7"/>
    <w:rsid w:val="511C1DC7"/>
    <w:rsid w:val="54FD49C1"/>
    <w:rsid w:val="5D725C3C"/>
    <w:rsid w:val="64BA77E5"/>
    <w:rsid w:val="6AA5022D"/>
    <w:rsid w:val="6F351FD0"/>
    <w:rsid w:val="7C026D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GB" w:eastAsia="zh-CN" w:bidi="ar-SA"/>
    </w:rPr>
  </w:style>
  <w:style w:type="paragraph" w:styleId="2">
    <w:name w:val="heading 1"/>
    <w:basedOn w:val="1"/>
    <w:next w:val="1"/>
    <w:link w:val="32"/>
    <w:qFormat/>
    <w:uiPriority w:val="9"/>
    <w:pPr>
      <w:keepNext/>
      <w:keepLines/>
      <w:numPr>
        <w:ilvl w:val="0"/>
        <w:numId w:val="1"/>
      </w:numPr>
      <w:spacing w:before="240" w:after="0"/>
      <w:ind w:left="0" w:firstLine="0"/>
      <w:outlineLvl w:val="0"/>
    </w:pPr>
    <w:rPr>
      <w:rFonts w:ascii="黑体" w:hAnsi="黑体" w:eastAsiaTheme="majorEastAsia" w:cstheme="majorBidi"/>
      <w:b/>
      <w:color w:val="000000" w:themeColor="text1"/>
      <w:sz w:val="32"/>
      <w:szCs w:val="32"/>
      <w14:textFill>
        <w14:solidFill>
          <w14:schemeClr w14:val="tx1"/>
        </w14:solidFill>
      </w14:textFill>
    </w:rPr>
  </w:style>
  <w:style w:type="paragraph" w:styleId="3">
    <w:name w:val="heading 2"/>
    <w:basedOn w:val="1"/>
    <w:next w:val="1"/>
    <w:link w:val="33"/>
    <w:unhideWhenUsed/>
    <w:qFormat/>
    <w:uiPriority w:val="9"/>
    <w:pPr>
      <w:keepNext/>
      <w:keepLines/>
      <w:spacing w:before="120" w:after="120"/>
      <w:ind w:left="426" w:firstLine="283"/>
      <w:outlineLvl w:val="1"/>
    </w:pPr>
    <w:rPr>
      <w:rFonts w:ascii="楷体_GB2312" w:hAnsi="楷体_GB2312" w:eastAsia="楷体_GB2312" w:cs="楷体_GB2312"/>
      <w:b/>
      <w:bCs/>
      <w:color w:val="000000" w:themeColor="text1"/>
      <w:sz w:val="32"/>
      <w:szCs w:val="32"/>
      <w:lang w:val="en-US"/>
      <w14:textFill>
        <w14:solidFill>
          <w14:schemeClr w14:val="tx1"/>
        </w14:solidFill>
      </w14:textFill>
    </w:rPr>
  </w:style>
  <w:style w:type="character" w:default="1" w:styleId="24">
    <w:name w:val="Default Paragraph Font"/>
    <w:semiHidden/>
    <w:unhideWhenUsed/>
    <w:qFormat/>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4">
    <w:name w:val="toc 7"/>
    <w:basedOn w:val="1"/>
    <w:next w:val="1"/>
    <w:unhideWhenUsed/>
    <w:qFormat/>
    <w:uiPriority w:val="39"/>
    <w:pPr>
      <w:spacing w:after="100"/>
      <w:ind w:left="1320"/>
    </w:pPr>
    <w:rPr>
      <w:lang w:val="en-US"/>
    </w:rPr>
  </w:style>
  <w:style w:type="paragraph" w:styleId="5">
    <w:name w:val="caption"/>
    <w:basedOn w:val="1"/>
    <w:next w:val="1"/>
    <w:unhideWhenUsed/>
    <w:qFormat/>
    <w:uiPriority w:val="35"/>
    <w:pPr>
      <w:spacing w:after="200" w:line="240" w:lineRule="auto"/>
    </w:pPr>
    <w:rPr>
      <w:i/>
      <w:iCs/>
      <w:color w:val="44546A" w:themeColor="text2"/>
      <w:sz w:val="18"/>
      <w:szCs w:val="18"/>
      <w14:textFill>
        <w14:solidFill>
          <w14:schemeClr w14:val="tx2"/>
        </w14:solidFill>
      </w14:textFill>
    </w:rPr>
  </w:style>
  <w:style w:type="paragraph" w:styleId="6">
    <w:name w:val="annotation text"/>
    <w:basedOn w:val="1"/>
    <w:link w:val="34"/>
    <w:unhideWhenUsed/>
    <w:qFormat/>
    <w:uiPriority w:val="99"/>
    <w:pPr>
      <w:spacing w:line="240" w:lineRule="auto"/>
    </w:pPr>
    <w:rPr>
      <w:sz w:val="20"/>
      <w:szCs w:val="20"/>
    </w:rPr>
  </w:style>
  <w:style w:type="paragraph" w:styleId="7">
    <w:name w:val="toc 5"/>
    <w:basedOn w:val="1"/>
    <w:next w:val="1"/>
    <w:unhideWhenUsed/>
    <w:qFormat/>
    <w:uiPriority w:val="39"/>
    <w:pPr>
      <w:spacing w:after="100"/>
      <w:ind w:left="880"/>
    </w:pPr>
    <w:rPr>
      <w:lang w:val="en-US"/>
    </w:rPr>
  </w:style>
  <w:style w:type="paragraph" w:styleId="8">
    <w:name w:val="toc 3"/>
    <w:basedOn w:val="1"/>
    <w:next w:val="1"/>
    <w:unhideWhenUsed/>
    <w:qFormat/>
    <w:uiPriority w:val="39"/>
    <w:pPr>
      <w:spacing w:after="100"/>
      <w:ind w:left="440"/>
    </w:pPr>
    <w:rPr>
      <w:lang w:val="en-US"/>
    </w:rPr>
  </w:style>
  <w:style w:type="paragraph" w:styleId="9">
    <w:name w:val="toc 8"/>
    <w:basedOn w:val="1"/>
    <w:next w:val="1"/>
    <w:unhideWhenUsed/>
    <w:qFormat/>
    <w:uiPriority w:val="39"/>
    <w:pPr>
      <w:spacing w:after="100"/>
      <w:ind w:left="1540"/>
    </w:pPr>
    <w:rPr>
      <w:lang w:val="en-US"/>
    </w:rPr>
  </w:style>
  <w:style w:type="paragraph" w:styleId="10">
    <w:name w:val="Balloon Text"/>
    <w:basedOn w:val="1"/>
    <w:link w:val="36"/>
    <w:semiHidden/>
    <w:unhideWhenUsed/>
    <w:qFormat/>
    <w:uiPriority w:val="99"/>
    <w:pPr>
      <w:spacing w:after="0" w:line="240" w:lineRule="auto"/>
    </w:pPr>
    <w:rPr>
      <w:rFonts w:ascii="Segoe UI" w:hAnsi="Segoe UI" w:cs="Segoe UI"/>
      <w:sz w:val="18"/>
      <w:szCs w:val="18"/>
    </w:rPr>
  </w:style>
  <w:style w:type="paragraph" w:styleId="11">
    <w:name w:val="footer"/>
    <w:basedOn w:val="1"/>
    <w:link w:val="29"/>
    <w:unhideWhenUsed/>
    <w:qFormat/>
    <w:uiPriority w:val="99"/>
    <w:pPr>
      <w:tabs>
        <w:tab w:val="center" w:pos="4153"/>
        <w:tab w:val="right" w:pos="8306"/>
      </w:tabs>
      <w:spacing w:after="0" w:line="240" w:lineRule="auto"/>
    </w:pPr>
  </w:style>
  <w:style w:type="paragraph" w:styleId="12">
    <w:name w:val="header"/>
    <w:basedOn w:val="1"/>
    <w:link w:val="28"/>
    <w:unhideWhenUsed/>
    <w:qFormat/>
    <w:uiPriority w:val="99"/>
    <w:pPr>
      <w:tabs>
        <w:tab w:val="center" w:pos="4153"/>
        <w:tab w:val="right" w:pos="8306"/>
      </w:tabs>
      <w:spacing w:after="0" w:line="240" w:lineRule="auto"/>
    </w:pPr>
  </w:style>
  <w:style w:type="paragraph" w:styleId="13">
    <w:name w:val="toc 1"/>
    <w:basedOn w:val="1"/>
    <w:next w:val="1"/>
    <w:unhideWhenUsed/>
    <w:qFormat/>
    <w:uiPriority w:val="39"/>
    <w:pPr>
      <w:spacing w:after="100"/>
    </w:pPr>
  </w:style>
  <w:style w:type="paragraph" w:styleId="14">
    <w:name w:val="toc 4"/>
    <w:basedOn w:val="1"/>
    <w:next w:val="1"/>
    <w:unhideWhenUsed/>
    <w:qFormat/>
    <w:uiPriority w:val="39"/>
    <w:pPr>
      <w:spacing w:after="100"/>
      <w:ind w:left="660"/>
    </w:pPr>
    <w:rPr>
      <w:lang w:val="en-US"/>
    </w:rPr>
  </w:style>
  <w:style w:type="paragraph" w:styleId="15">
    <w:name w:val="Subtitle"/>
    <w:basedOn w:val="1"/>
    <w:next w:val="1"/>
    <w:link w:val="45"/>
    <w:qFormat/>
    <w:uiPriority w:val="11"/>
    <w:rPr>
      <w:color w:val="595959" w:themeColor="text1" w:themeTint="A6"/>
      <w:spacing w:val="15"/>
      <w14:textFill>
        <w14:solidFill>
          <w14:schemeClr w14:val="tx1">
            <w14:lumMod w14:val="65000"/>
            <w14:lumOff w14:val="35000"/>
          </w14:schemeClr>
        </w14:solidFill>
      </w14:textFill>
    </w:rPr>
  </w:style>
  <w:style w:type="paragraph" w:styleId="16">
    <w:name w:val="toc 6"/>
    <w:basedOn w:val="1"/>
    <w:next w:val="1"/>
    <w:unhideWhenUsed/>
    <w:qFormat/>
    <w:uiPriority w:val="39"/>
    <w:pPr>
      <w:spacing w:after="100"/>
      <w:ind w:left="1100"/>
    </w:pPr>
    <w:rPr>
      <w:lang w:val="en-US"/>
    </w:rPr>
  </w:style>
  <w:style w:type="paragraph" w:styleId="17">
    <w:name w:val="toc 2"/>
    <w:basedOn w:val="1"/>
    <w:next w:val="1"/>
    <w:unhideWhenUsed/>
    <w:qFormat/>
    <w:uiPriority w:val="39"/>
    <w:pPr>
      <w:spacing w:after="100"/>
      <w:ind w:left="220"/>
    </w:pPr>
  </w:style>
  <w:style w:type="paragraph" w:styleId="18">
    <w:name w:val="toc 9"/>
    <w:basedOn w:val="1"/>
    <w:next w:val="1"/>
    <w:unhideWhenUsed/>
    <w:qFormat/>
    <w:uiPriority w:val="39"/>
    <w:pPr>
      <w:spacing w:after="100"/>
      <w:ind w:left="1760"/>
    </w:pPr>
    <w:rPr>
      <w:lang w:val="en-US"/>
    </w:rPr>
  </w:style>
  <w:style w:type="paragraph" w:styleId="19">
    <w:name w:val="Normal (Web)"/>
    <w:basedOn w:val="1"/>
    <w:unhideWhenUsed/>
    <w:qFormat/>
    <w:uiPriority w:val="99"/>
    <w:pPr>
      <w:spacing w:before="100" w:beforeAutospacing="1" w:after="100" w:afterAutospacing="1" w:line="240" w:lineRule="auto"/>
    </w:pPr>
    <w:rPr>
      <w:rFonts w:ascii="宋体" w:hAnsi="宋体" w:eastAsia="宋体" w:cs="宋体"/>
      <w:sz w:val="24"/>
      <w:szCs w:val="24"/>
      <w:lang w:val="en-US"/>
    </w:rPr>
  </w:style>
  <w:style w:type="paragraph" w:styleId="20">
    <w:name w:val="Title"/>
    <w:basedOn w:val="1"/>
    <w:next w:val="1"/>
    <w:link w:val="46"/>
    <w:qFormat/>
    <w:uiPriority w:val="10"/>
    <w:pPr>
      <w:spacing w:after="0" w:line="240" w:lineRule="auto"/>
      <w:contextualSpacing/>
    </w:pPr>
    <w:rPr>
      <w:rFonts w:asciiTheme="majorHAnsi" w:hAnsiTheme="majorHAnsi" w:eastAsiaTheme="majorEastAsia" w:cstheme="majorBidi"/>
      <w:spacing w:val="-10"/>
      <w:kern w:val="28"/>
      <w:sz w:val="56"/>
      <w:szCs w:val="56"/>
    </w:rPr>
  </w:style>
  <w:style w:type="paragraph" w:styleId="21">
    <w:name w:val="annotation subject"/>
    <w:basedOn w:val="6"/>
    <w:next w:val="6"/>
    <w:link w:val="35"/>
    <w:semiHidden/>
    <w:unhideWhenUsed/>
    <w:qFormat/>
    <w:uiPriority w:val="99"/>
    <w:rPr>
      <w:b/>
      <w:bCs/>
    </w:rPr>
  </w:style>
  <w:style w:type="table" w:styleId="23">
    <w:name w:val="Table Grid"/>
    <w:basedOn w:val="2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Emphasis"/>
    <w:basedOn w:val="24"/>
    <w:qFormat/>
    <w:uiPriority w:val="20"/>
    <w:rPr>
      <w:i/>
      <w:iCs/>
    </w:rPr>
  </w:style>
  <w:style w:type="character" w:styleId="26">
    <w:name w:val="Hyperlink"/>
    <w:basedOn w:val="24"/>
    <w:unhideWhenUsed/>
    <w:qFormat/>
    <w:uiPriority w:val="99"/>
    <w:rPr>
      <w:color w:val="0563C1" w:themeColor="hyperlink"/>
      <w:u w:val="single"/>
      <w14:textFill>
        <w14:solidFill>
          <w14:schemeClr w14:val="hlink"/>
        </w14:solidFill>
      </w14:textFill>
    </w:rPr>
  </w:style>
  <w:style w:type="character" w:styleId="27">
    <w:name w:val="annotation reference"/>
    <w:basedOn w:val="24"/>
    <w:semiHidden/>
    <w:unhideWhenUsed/>
    <w:qFormat/>
    <w:uiPriority w:val="99"/>
    <w:rPr>
      <w:sz w:val="16"/>
      <w:szCs w:val="16"/>
    </w:rPr>
  </w:style>
  <w:style w:type="character" w:customStyle="1" w:styleId="28">
    <w:name w:val="Header Char"/>
    <w:basedOn w:val="24"/>
    <w:link w:val="12"/>
    <w:qFormat/>
    <w:uiPriority w:val="99"/>
  </w:style>
  <w:style w:type="character" w:customStyle="1" w:styleId="29">
    <w:name w:val="Footer Char"/>
    <w:basedOn w:val="24"/>
    <w:link w:val="11"/>
    <w:qFormat/>
    <w:uiPriority w:val="99"/>
  </w:style>
  <w:style w:type="paragraph" w:styleId="30">
    <w:name w:val="List Paragraph"/>
    <w:basedOn w:val="1"/>
    <w:qFormat/>
    <w:uiPriority w:val="34"/>
    <w:pPr>
      <w:ind w:left="720"/>
      <w:contextualSpacing/>
    </w:pPr>
  </w:style>
  <w:style w:type="paragraph" w:customStyle="1" w:styleId="31">
    <w:name w:val="p0"/>
    <w:basedOn w:val="1"/>
    <w:link w:val="54"/>
    <w:qFormat/>
    <w:uiPriority w:val="0"/>
    <w:pPr>
      <w:spacing w:after="0" w:line="240" w:lineRule="auto"/>
      <w:jc w:val="both"/>
    </w:pPr>
    <w:rPr>
      <w:rFonts w:ascii="Calibri" w:hAnsi="Calibri" w:eastAsia="宋体" w:cs="宋体"/>
      <w:sz w:val="21"/>
      <w:szCs w:val="21"/>
      <w:lang w:val="en-US"/>
    </w:rPr>
  </w:style>
  <w:style w:type="character" w:customStyle="1" w:styleId="32">
    <w:name w:val="Heading 1 Char"/>
    <w:basedOn w:val="24"/>
    <w:link w:val="2"/>
    <w:qFormat/>
    <w:uiPriority w:val="9"/>
    <w:rPr>
      <w:rFonts w:ascii="黑体" w:hAnsi="黑体" w:eastAsiaTheme="majorEastAsia" w:cstheme="majorBidi"/>
      <w:b/>
      <w:color w:val="000000" w:themeColor="text1"/>
      <w:sz w:val="32"/>
      <w:szCs w:val="32"/>
      <w:lang w:val="en-GB"/>
      <w14:textFill>
        <w14:solidFill>
          <w14:schemeClr w14:val="tx1"/>
        </w14:solidFill>
      </w14:textFill>
    </w:rPr>
  </w:style>
  <w:style w:type="character" w:customStyle="1" w:styleId="33">
    <w:name w:val="Heading 2 Char"/>
    <w:basedOn w:val="24"/>
    <w:link w:val="3"/>
    <w:qFormat/>
    <w:uiPriority w:val="9"/>
    <w:rPr>
      <w:rFonts w:ascii="楷体_GB2312" w:hAnsi="楷体_GB2312" w:eastAsia="楷体_GB2312" w:cs="楷体_GB2312"/>
      <w:b/>
      <w:bCs/>
      <w:color w:val="000000" w:themeColor="text1"/>
      <w:sz w:val="32"/>
      <w:szCs w:val="32"/>
      <w14:textFill>
        <w14:solidFill>
          <w14:schemeClr w14:val="tx1"/>
        </w14:solidFill>
      </w14:textFill>
    </w:rPr>
  </w:style>
  <w:style w:type="character" w:customStyle="1" w:styleId="34">
    <w:name w:val="Comment Text Char"/>
    <w:basedOn w:val="24"/>
    <w:link w:val="6"/>
    <w:qFormat/>
    <w:uiPriority w:val="99"/>
    <w:rPr>
      <w:sz w:val="20"/>
      <w:szCs w:val="20"/>
    </w:rPr>
  </w:style>
  <w:style w:type="character" w:customStyle="1" w:styleId="35">
    <w:name w:val="Comment Subject Char"/>
    <w:basedOn w:val="34"/>
    <w:link w:val="21"/>
    <w:semiHidden/>
    <w:qFormat/>
    <w:uiPriority w:val="99"/>
    <w:rPr>
      <w:b/>
      <w:bCs/>
      <w:sz w:val="20"/>
      <w:szCs w:val="20"/>
    </w:rPr>
  </w:style>
  <w:style w:type="character" w:customStyle="1" w:styleId="36">
    <w:name w:val="Balloon Text Char"/>
    <w:basedOn w:val="24"/>
    <w:link w:val="10"/>
    <w:semiHidden/>
    <w:qFormat/>
    <w:uiPriority w:val="99"/>
    <w:rPr>
      <w:rFonts w:ascii="Segoe UI" w:hAnsi="Segoe UI" w:cs="Segoe UI"/>
      <w:sz w:val="18"/>
      <w:szCs w:val="18"/>
    </w:rPr>
  </w:style>
  <w:style w:type="paragraph" w:customStyle="1" w:styleId="37">
    <w:name w:val="Revision1"/>
    <w:hidden/>
    <w:semiHidden/>
    <w:qFormat/>
    <w:uiPriority w:val="99"/>
    <w:pPr>
      <w:spacing w:after="160" w:line="259" w:lineRule="auto"/>
    </w:pPr>
    <w:rPr>
      <w:rFonts w:asciiTheme="minorHAnsi" w:hAnsiTheme="minorHAnsi" w:eastAsiaTheme="minorEastAsia" w:cstheme="minorBidi"/>
      <w:sz w:val="22"/>
      <w:szCs w:val="22"/>
      <w:lang w:val="en-GB" w:eastAsia="zh-CN" w:bidi="ar-SA"/>
    </w:rPr>
  </w:style>
  <w:style w:type="paragraph" w:styleId="38">
    <w:name w:val="No Spacing"/>
    <w:link w:val="39"/>
    <w:qFormat/>
    <w:uiPriority w:val="1"/>
    <w:pPr>
      <w:spacing w:after="160" w:line="259" w:lineRule="auto"/>
    </w:pPr>
    <w:rPr>
      <w:rFonts w:asciiTheme="minorHAnsi" w:hAnsiTheme="minorHAnsi" w:eastAsiaTheme="minorEastAsia" w:cstheme="minorBidi"/>
      <w:sz w:val="22"/>
      <w:szCs w:val="22"/>
      <w:lang w:val="en-US" w:eastAsia="en-US" w:bidi="ar-SA"/>
    </w:rPr>
  </w:style>
  <w:style w:type="character" w:customStyle="1" w:styleId="39">
    <w:name w:val="No Spacing Char"/>
    <w:basedOn w:val="24"/>
    <w:link w:val="38"/>
    <w:qFormat/>
    <w:uiPriority w:val="1"/>
    <w:rPr>
      <w:sz w:val="22"/>
      <w:szCs w:val="22"/>
      <w:lang w:val="en-US" w:eastAsia="en-US"/>
    </w:rPr>
  </w:style>
  <w:style w:type="paragraph" w:customStyle="1" w:styleId="40">
    <w:name w:val="TOC Heading1"/>
    <w:basedOn w:val="2"/>
    <w:next w:val="1"/>
    <w:unhideWhenUsed/>
    <w:qFormat/>
    <w:uiPriority w:val="39"/>
    <w:pPr>
      <w:numPr>
        <w:numId w:val="0"/>
      </w:numPr>
      <w:outlineLvl w:val="9"/>
    </w:pPr>
    <w:rPr>
      <w:rFonts w:asciiTheme="majorHAnsi" w:hAnsiTheme="majorHAnsi"/>
      <w:b w:val="0"/>
      <w:color w:val="2E75B6" w:themeColor="accent1" w:themeShade="BF"/>
      <w:lang w:val="en-US" w:eastAsia="en-US"/>
    </w:rPr>
  </w:style>
  <w:style w:type="character" w:customStyle="1" w:styleId="41">
    <w:name w:val="Unresolved Mention1"/>
    <w:basedOn w:val="24"/>
    <w:semiHidden/>
    <w:unhideWhenUsed/>
    <w:qFormat/>
    <w:uiPriority w:val="99"/>
    <w:rPr>
      <w:color w:val="605E5C"/>
      <w:shd w:val="clear" w:color="auto" w:fill="E1DFDD"/>
    </w:rPr>
  </w:style>
  <w:style w:type="table" w:customStyle="1" w:styleId="42">
    <w:name w:val="Grid Table 4 - Accent 51"/>
    <w:basedOn w:val="22"/>
    <w:qFormat/>
    <w:uiPriority w:val="49"/>
    <w:pPr>
      <w:spacing w:after="0" w:line="240" w:lineRule="auto"/>
    </w:p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color w:val="FFFFFF" w:themeColor="background1"/>
        <w14:textFill>
          <w14:solidFill>
            <w14:schemeClr w14:val="bg1"/>
          </w14:solidFill>
        </w14:textFill>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cPr>
        <w:tcBorders>
          <w:top w:val="double" w:color="4472C4" w:themeColor="accent5"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character" w:customStyle="1" w:styleId="43">
    <w:name w:val="Intense Emphasis1"/>
    <w:basedOn w:val="24"/>
    <w:qFormat/>
    <w:uiPriority w:val="21"/>
    <w:rPr>
      <w:i/>
      <w:iCs/>
      <w:color w:val="5B9BD5" w:themeColor="accent1"/>
      <w14:textFill>
        <w14:solidFill>
          <w14:schemeClr w14:val="accent1"/>
        </w14:solidFill>
      </w14:textFill>
    </w:rPr>
  </w:style>
  <w:style w:type="character" w:customStyle="1" w:styleId="44">
    <w:name w:val="Subtle Emphasis1"/>
    <w:basedOn w:val="24"/>
    <w:qFormat/>
    <w:uiPriority w:val="19"/>
    <w:rPr>
      <w:i/>
      <w:iCs/>
      <w:color w:val="404040" w:themeColor="text1" w:themeTint="BF"/>
      <w14:textFill>
        <w14:solidFill>
          <w14:schemeClr w14:val="tx1">
            <w14:lumMod w14:val="75000"/>
            <w14:lumOff w14:val="25000"/>
          </w14:schemeClr>
        </w14:solidFill>
      </w14:textFill>
    </w:rPr>
  </w:style>
  <w:style w:type="character" w:customStyle="1" w:styleId="45">
    <w:name w:val="Subtitle Char"/>
    <w:basedOn w:val="24"/>
    <w:link w:val="15"/>
    <w:qFormat/>
    <w:uiPriority w:val="11"/>
    <w:rPr>
      <w:color w:val="595959" w:themeColor="text1" w:themeTint="A6"/>
      <w:spacing w:val="15"/>
      <w:sz w:val="22"/>
      <w:szCs w:val="22"/>
      <w:lang w:val="en-GB"/>
      <w14:textFill>
        <w14:solidFill>
          <w14:schemeClr w14:val="tx1">
            <w14:lumMod w14:val="65000"/>
            <w14:lumOff w14:val="35000"/>
          </w14:schemeClr>
        </w14:solidFill>
      </w14:textFill>
    </w:rPr>
  </w:style>
  <w:style w:type="character" w:customStyle="1" w:styleId="46">
    <w:name w:val="Title Char"/>
    <w:basedOn w:val="24"/>
    <w:link w:val="20"/>
    <w:qFormat/>
    <w:uiPriority w:val="10"/>
    <w:rPr>
      <w:rFonts w:asciiTheme="majorHAnsi" w:hAnsiTheme="majorHAnsi" w:eastAsiaTheme="majorEastAsia" w:cstheme="majorBidi"/>
      <w:spacing w:val="-10"/>
      <w:kern w:val="28"/>
      <w:sz w:val="56"/>
      <w:szCs w:val="56"/>
      <w:lang w:val="en-GB"/>
    </w:rPr>
  </w:style>
  <w:style w:type="paragraph" w:customStyle="1" w:styleId="47">
    <w:name w:val="Revision2"/>
    <w:hidden/>
    <w:semiHidden/>
    <w:qFormat/>
    <w:uiPriority w:val="99"/>
    <w:pPr>
      <w:spacing w:after="0" w:line="240" w:lineRule="auto"/>
    </w:pPr>
    <w:rPr>
      <w:rFonts w:asciiTheme="minorHAnsi" w:hAnsiTheme="minorHAnsi" w:eastAsiaTheme="minorEastAsia" w:cstheme="minorBidi"/>
      <w:sz w:val="22"/>
      <w:szCs w:val="22"/>
      <w:lang w:val="en-GB" w:eastAsia="zh-CN" w:bidi="ar-SA"/>
    </w:rPr>
  </w:style>
  <w:style w:type="paragraph" w:customStyle="1" w:styleId="48">
    <w:name w:val="标题一级"/>
    <w:basedOn w:val="2"/>
    <w:link w:val="50"/>
    <w:qFormat/>
    <w:uiPriority w:val="0"/>
    <w:pPr>
      <w:numPr>
        <w:numId w:val="0"/>
      </w:numPr>
      <w:spacing w:before="120" w:after="120" w:line="360" w:lineRule="auto"/>
    </w:pPr>
    <w:rPr>
      <w:rFonts w:eastAsia="黑体" w:cs="黑体"/>
      <w:b w:val="0"/>
      <w:bCs/>
    </w:rPr>
  </w:style>
  <w:style w:type="paragraph" w:customStyle="1" w:styleId="49">
    <w:name w:val="标题二级"/>
    <w:basedOn w:val="3"/>
    <w:link w:val="52"/>
    <w:qFormat/>
    <w:uiPriority w:val="0"/>
    <w:pPr>
      <w:spacing w:line="360" w:lineRule="auto"/>
      <w:ind w:left="0" w:firstLine="567"/>
    </w:pPr>
  </w:style>
  <w:style w:type="character" w:customStyle="1" w:styleId="50">
    <w:name w:val="标题一级 Char"/>
    <w:basedOn w:val="32"/>
    <w:link w:val="48"/>
    <w:qFormat/>
    <w:uiPriority w:val="0"/>
    <w:rPr>
      <w:rFonts w:ascii="黑体" w:hAnsi="黑体" w:eastAsia="黑体" w:cs="黑体"/>
      <w:b w:val="0"/>
      <w:bCs/>
      <w:color w:val="000000" w:themeColor="text1"/>
      <w:sz w:val="32"/>
      <w:szCs w:val="32"/>
      <w:lang w:val="en-GB"/>
      <w14:textFill>
        <w14:solidFill>
          <w14:schemeClr w14:val="tx1"/>
        </w14:solidFill>
      </w14:textFill>
    </w:rPr>
  </w:style>
  <w:style w:type="paragraph" w:customStyle="1" w:styleId="51">
    <w:name w:val="标题三级"/>
    <w:basedOn w:val="31"/>
    <w:link w:val="55"/>
    <w:qFormat/>
    <w:uiPriority w:val="0"/>
    <w:pPr>
      <w:numPr>
        <w:ilvl w:val="0"/>
        <w:numId w:val="2"/>
      </w:numPr>
      <w:spacing w:before="120" w:after="120" w:line="360" w:lineRule="auto"/>
      <w:ind w:left="0" w:firstLine="567"/>
    </w:pPr>
    <w:rPr>
      <w:rFonts w:ascii="仿宋_GB2312" w:hAnsi="仿宋_GB2312" w:eastAsia="仿宋_GB2312" w:cs="仿宋_GB2312"/>
      <w:b/>
      <w:color w:val="000000" w:themeColor="text1"/>
      <w:sz w:val="32"/>
      <w:szCs w:val="32"/>
      <w14:textFill>
        <w14:solidFill>
          <w14:schemeClr w14:val="tx1"/>
        </w14:solidFill>
      </w14:textFill>
    </w:rPr>
  </w:style>
  <w:style w:type="character" w:customStyle="1" w:styleId="52">
    <w:name w:val="标题二级 Char"/>
    <w:basedOn w:val="33"/>
    <w:link w:val="49"/>
    <w:qFormat/>
    <w:uiPriority w:val="0"/>
    <w:rPr>
      <w:rFonts w:ascii="楷体_GB2312" w:hAnsi="楷体_GB2312" w:eastAsia="楷体_GB2312" w:cs="楷体_GB2312"/>
      <w:color w:val="000000" w:themeColor="text1"/>
      <w:sz w:val="32"/>
      <w:szCs w:val="32"/>
      <w14:textFill>
        <w14:solidFill>
          <w14:schemeClr w14:val="tx1"/>
        </w14:solidFill>
      </w14:textFill>
    </w:rPr>
  </w:style>
  <w:style w:type="paragraph" w:customStyle="1" w:styleId="53">
    <w:name w:val="小标题"/>
    <w:basedOn w:val="51"/>
    <w:link w:val="56"/>
    <w:qFormat/>
    <w:uiPriority w:val="0"/>
    <w:pPr>
      <w:numPr>
        <w:numId w:val="3"/>
      </w:numPr>
    </w:pPr>
  </w:style>
  <w:style w:type="character" w:customStyle="1" w:styleId="54">
    <w:name w:val="p0 Char"/>
    <w:basedOn w:val="24"/>
    <w:link w:val="31"/>
    <w:qFormat/>
    <w:uiPriority w:val="0"/>
    <w:rPr>
      <w:rFonts w:ascii="Calibri" w:hAnsi="Calibri" w:eastAsia="宋体" w:cs="宋体"/>
      <w:sz w:val="21"/>
      <w:szCs w:val="21"/>
    </w:rPr>
  </w:style>
  <w:style w:type="character" w:customStyle="1" w:styleId="55">
    <w:name w:val="标题三级 Char"/>
    <w:basedOn w:val="54"/>
    <w:link w:val="51"/>
    <w:qFormat/>
    <w:uiPriority w:val="0"/>
    <w:rPr>
      <w:rFonts w:ascii="仿宋_GB2312" w:hAnsi="仿宋_GB2312" w:eastAsia="仿宋_GB2312" w:cs="仿宋_GB2312"/>
      <w:b/>
      <w:color w:val="000000" w:themeColor="text1"/>
      <w:sz w:val="32"/>
      <w:szCs w:val="32"/>
      <w14:textFill>
        <w14:solidFill>
          <w14:schemeClr w14:val="tx1"/>
        </w14:solidFill>
      </w14:textFill>
    </w:rPr>
  </w:style>
  <w:style w:type="character" w:customStyle="1" w:styleId="56">
    <w:name w:val="小标题 Char"/>
    <w:basedOn w:val="55"/>
    <w:link w:val="53"/>
    <w:qFormat/>
    <w:uiPriority w:val="0"/>
    <w:rPr>
      <w:rFonts w:ascii="仿宋_GB2312" w:hAnsi="仿宋_GB2312" w:eastAsia="仿宋_GB2312" w:cs="仿宋_GB2312"/>
      <w:color w:val="000000" w:themeColor="text1"/>
      <w:sz w:val="32"/>
      <w:szCs w:val="32"/>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60B079-05C3-4427-B1E2-EEFDB5C8B998}">
  <ds:schemaRefs/>
</ds:datastoreItem>
</file>

<file path=docProps/app.xml><?xml version="1.0" encoding="utf-8"?>
<Properties xmlns="http://schemas.openxmlformats.org/officeDocument/2006/extended-properties" xmlns:vt="http://schemas.openxmlformats.org/officeDocument/2006/docPropsVTypes">
  <Template>Normal.dotm</Template>
  <Company>KPMG</Company>
  <Pages>52</Pages>
  <Words>3815</Words>
  <Characters>21748</Characters>
  <Lines>181</Lines>
  <Paragraphs>51</Paragraphs>
  <TotalTime>356</TotalTime>
  <ScaleCrop>false</ScaleCrop>
  <LinksUpToDate>false</LinksUpToDate>
  <CharactersWithSpaces>25512</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2021-07-13T03:49:00Z</dcterms:created>
  <dc:creator>Lin, Vicky H (GZ/MC)</dc:creator>
  <cp:lastModifiedBy>刀客</cp:lastModifiedBy>
  <cp:lastPrinted>2021-04-21T09:35:00Z</cp:lastPrinted>
  <dcterms:modified xsi:type="dcterms:W3CDTF">2021-07-29T07:44:16Z</dcterms:modified>
  <dc:subject>（2021-2025年）</dc:subject>
  <dc:title>海口市教育事业“十四五”发展规划</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