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281B9">
      <w:pPr>
        <w:rPr>
          <w:rFonts w:hint="eastAsia"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附件</w:t>
      </w:r>
      <w:r>
        <w:rPr>
          <w:rFonts w:hint="eastAsia" w:ascii="黑体" w:hAnsi="黑体" w:eastAsia="黑体" w:cs="Times New Roman"/>
          <w:sz w:val="32"/>
        </w:rPr>
        <w:t>11</w:t>
      </w:r>
    </w:p>
    <w:p w14:paraId="12EF44E7">
      <w:pPr>
        <w:pStyle w:val="2"/>
        <w:spacing w:line="560" w:lineRule="exact"/>
        <w:jc w:val="center"/>
        <w:rPr>
          <w:rFonts w:hint="eastAsia" w:ascii="方正小标宋_GBK" w:hAnsi="仿宋" w:eastAsia="方正小标宋_GBK"/>
          <w:sz w:val="36"/>
          <w:szCs w:val="44"/>
        </w:rPr>
      </w:pPr>
      <w:r>
        <w:rPr>
          <w:rFonts w:hint="eastAsia" w:ascii="方正小标宋_GBK" w:hAnsi="仿宋" w:eastAsia="方正小标宋_GBK"/>
          <w:sz w:val="36"/>
          <w:szCs w:val="44"/>
        </w:rPr>
        <w:t>省教育厅“十个严禁”工作要求</w:t>
      </w:r>
    </w:p>
    <w:p w14:paraId="1122D987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B95E45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1.严禁提前结束初中课程，严禁提前分流学生，</w:t>
      </w:r>
      <w:r>
        <w:rPr>
          <w:rFonts w:ascii="仿宋_GB2312" w:hAnsi="仿宋_GB2312" w:eastAsia="仿宋_GB2312" w:cs="仿宋_GB2312"/>
          <w:sz w:val="32"/>
          <w:szCs w:val="32"/>
        </w:rPr>
        <w:t>严禁任何强制或变相要求学生放弃中考、报考中职的行为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，严禁以任何形式在学生初中学业结束前提前招录学生，严禁民办普通高中学校与考生签订提前录取协议；</w:t>
      </w:r>
    </w:p>
    <w:p w14:paraId="2FD045E3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2.严禁免试招生、超计划招生、降低分数线招生、违规跨区域招生、招生后违规办理转学；</w:t>
      </w:r>
    </w:p>
    <w:p w14:paraId="68E8CAAD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3.严禁学校间混合招生；严禁公办学校参与举办的民办学校以公办学校名义招揽生源；严禁与社会培训机构联合组织以选拔生源为目的的各类考试，或采用社会培训机构组织的考试结果作为招生依据；</w:t>
      </w:r>
    </w:p>
    <w:p w14:paraId="57325477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4.严禁招收已被中等职业学校等其他学校录取的学生；</w:t>
      </w:r>
    </w:p>
    <w:p w14:paraId="481EE3A9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5.严禁招收未参加当年我省中考的学生；</w:t>
      </w:r>
    </w:p>
    <w:p w14:paraId="4EDCD0E7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6.严禁招收借读生、人籍分离、空挂学籍；</w:t>
      </w:r>
    </w:p>
    <w:p w14:paraId="1C9172AA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7.严禁普通高中学校的国际班学生转到普通班就读；</w:t>
      </w:r>
    </w:p>
    <w:p w14:paraId="799E5F63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8.严禁以高额物质奖励、虚假宣传等不正当手段争抢生源；</w:t>
      </w:r>
    </w:p>
    <w:p w14:paraId="7A9DBF0F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9.严禁收取择校费、与招生入学挂钩的赞助费以及跨学期收取学费；</w:t>
      </w:r>
    </w:p>
    <w:p w14:paraId="5448674C">
      <w:pPr>
        <w:pStyle w:val="2"/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10.严禁公布、宣传、炒作中考“状元”和升学率。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17" w:bottom="1417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9ED63C-C5EE-47D8-80B4-E1865CA858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5B228B-8876-44C6-A3EC-CC379F271A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C8A662-0E56-426B-9C54-C565DFB11A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FC3A94-F88B-4133-8470-F1DD63B089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E60C">
    <w:pPr>
      <w:pStyle w:val="3"/>
      <w:ind w:firstLine="742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786A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1C786A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0A32">
    <w:pPr>
      <w:pStyle w:val="3"/>
      <w:ind w:firstLine="560" w:firstLineChars="200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2D6B"/>
    <w:rsid w:val="1EE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2025-04-30T07:55:00Z</dcterms:created>
  <dc:creator>维维</dc:creator>
  <cp:lastModifiedBy>维维</cp:lastModifiedBy>
  <dcterms:modified xsi:type="dcterms:W3CDTF">2025-04-30T07:55:26Z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41C95C04B5314257B07B07B0981CD4AD_11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