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2024</w:t>
      </w:r>
      <w:r>
        <w:rPr>
          <w:rFonts w:hint="eastAsia"/>
          <w:sz w:val="52"/>
          <w:szCs w:val="52"/>
        </w:rPr>
        <w:t>年</w:t>
      </w:r>
      <w:r>
        <w:rPr>
          <w:rFonts w:hint="eastAsia"/>
          <w:sz w:val="52"/>
          <w:szCs w:val="52"/>
          <w:lang w:eastAsia="zh-CN"/>
        </w:rPr>
        <w:t>海口市港湾幼儿园</w:t>
      </w:r>
    </w:p>
    <w:p>
      <w:pPr>
        <w:jc w:val="center"/>
        <w:rPr>
          <w:sz w:val="52"/>
          <w:szCs w:val="52"/>
        </w:rPr>
      </w:pP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海口市港湾幼儿园</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年部门（单位）预算表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年部门（单位）预算情况说明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海口市港湾幼儿园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numPr>
          <w:ilvl w:val="0"/>
          <w:numId w:val="0"/>
        </w:numPr>
        <w:ind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港湾幼儿园于2016年开园，建筑面积5849平方米，占地面积6281平方米，教学规模12个班，拥有雄厚的师资队伍与优质的教育环境的省级示范幼儿园。植根于港湾的这片沃土，依托丰富的教育资源，我园充分发挥教科研工作优势，努力践行“以儿童为本”的教育理念，深入凸显“文化育人”特色，致力于培养专业化的师资队伍与“乐”、“爱”、“礼”、“智”、“美”的儿童。在传承、发展与创新的过程中赢得了社会的良好的口碑与声誉。</w:t>
      </w:r>
    </w:p>
    <w:p>
      <w:pPr>
        <w:pStyle w:val="5"/>
        <w:numPr>
          <w:ilvl w:val="-1"/>
          <w:numId w:val="0"/>
        </w:numPr>
        <w:ind w:left="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建立符合3-6岁学龄前儿童教育机制，组织开展学前教育及科学研究工作。推广学前教育科学研究成果，促进幼儿身心健康发展，为家长提供必要的家庭教育指导，提升办园水平和社会影响力。</w:t>
      </w:r>
    </w:p>
    <w:p>
      <w:pPr>
        <w:pStyle w:val="5"/>
        <w:widowControl/>
        <w:numPr>
          <w:ilvl w:val="-1"/>
          <w:numId w:val="0"/>
        </w:numPr>
        <w:pBdr>
          <w:top w:val="none" w:color="auto" w:sz="0" w:space="0"/>
          <w:left w:val="none" w:color="auto" w:sz="0" w:space="0"/>
          <w:bottom w:val="none" w:color="auto" w:sz="0" w:space="0"/>
          <w:right w:val="none" w:color="auto" w:sz="0" w:space="0"/>
        </w:pBdr>
        <w:shd w:val="clear" w:fill="FFFFFF"/>
        <w:spacing w:line="315" w:lineRule="atLeast"/>
        <w:ind w:left="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本单位成立于2016年3月，是教育局直属的差额拨款事业单位，本单位人员编制31人，在编教职工29人，实有人员</w:t>
      </w:r>
      <w:r>
        <w:rPr>
          <w:rFonts w:hint="eastAsia" w:ascii="仿宋_GB2312" w:hAnsi="黑体" w:eastAsia="仿宋_GB2312" w:cs="仿宋_GB2312"/>
          <w:kern w:val="2"/>
          <w:sz w:val="32"/>
          <w:szCs w:val="32"/>
          <w:highlight w:val="none"/>
          <w:lang w:val="en-US" w:eastAsia="zh-CN" w:bidi="ar-SA"/>
        </w:rPr>
        <w:t>72人，幼</w:t>
      </w:r>
      <w:r>
        <w:rPr>
          <w:rFonts w:hint="eastAsia" w:ascii="仿宋_GB2312" w:hAnsi="黑体" w:eastAsia="仿宋_GB2312" w:cs="仿宋_GB2312"/>
          <w:kern w:val="2"/>
          <w:sz w:val="32"/>
          <w:szCs w:val="32"/>
          <w:lang w:val="en-US" w:eastAsia="zh-CN" w:bidi="ar-SA"/>
        </w:rPr>
        <w:t>儿园设有12个班；设有办公室、多媒体室、烹饪室、图书室、科学室、舞蹈室、美术室、报告厅、会议室等。</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highlight w:val="none"/>
        </w:rPr>
      </w:pPr>
      <w:r>
        <w:rPr>
          <w:rFonts w:hint="eastAsia" w:ascii="黑体" w:hAnsi="黑体" w:eastAsia="黑体"/>
          <w:sz w:val="32"/>
          <w:szCs w:val="32"/>
        </w:rPr>
        <w:t>一、关于</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年财政拨款收支预算</w:t>
      </w:r>
      <w:r>
        <w:rPr>
          <w:rFonts w:hint="eastAsia" w:ascii="黑体" w:hAnsi="黑体" w:eastAsia="黑体"/>
          <w:sz w:val="32"/>
          <w:szCs w:val="32"/>
          <w:highlight w:val="none"/>
        </w:rPr>
        <w:t>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highlight w:val="none"/>
          <w:lang w:eastAsia="zh-CN"/>
        </w:rPr>
        <w:t>海口市港湾幼儿园</w:t>
      </w:r>
      <w:r>
        <w:rPr>
          <w:rFonts w:hint="eastAsia" w:ascii="仿宋_GB2312" w:hAnsi="黑体" w:eastAsia="仿宋_GB2312"/>
          <w:sz w:val="32"/>
          <w:szCs w:val="32"/>
          <w:highlight w:val="none"/>
          <w:lang w:val="en-US" w:eastAsia="zh-CN"/>
        </w:rPr>
        <w:t>2024</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lang w:val="en-US" w:eastAsia="zh-CN"/>
        </w:rPr>
        <w:t>1149.51</w:t>
      </w:r>
      <w:r>
        <w:rPr>
          <w:rFonts w:hint="eastAsia" w:ascii="仿宋_GB2312" w:hAnsi="黑体" w:eastAsia="仿宋_GB2312"/>
          <w:sz w:val="32"/>
          <w:szCs w:val="32"/>
          <w:highlight w:val="none"/>
        </w:rPr>
        <w:t>万元。其中，收入总计</w:t>
      </w:r>
      <w:r>
        <w:rPr>
          <w:rFonts w:hint="eastAsia" w:ascii="仿宋_GB2312" w:hAnsi="黑体" w:eastAsia="仿宋_GB2312" w:cs="仿宋_GB2312"/>
          <w:sz w:val="32"/>
          <w:szCs w:val="32"/>
          <w:highlight w:val="none"/>
          <w:lang w:val="en-US" w:eastAsia="zh-CN"/>
        </w:rPr>
        <w:t>1149.51</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lang w:val="en-US" w:eastAsia="zh-CN"/>
        </w:rPr>
        <w:t>1111.44</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政府性基金预算本年收入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38.07</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lang w:val="en-US" w:eastAsia="zh-CN"/>
        </w:rPr>
        <w:t>1149.51</w:t>
      </w:r>
      <w:r>
        <w:rPr>
          <w:rFonts w:hint="eastAsia" w:ascii="仿宋_GB2312" w:hAnsi="黑体" w:eastAsia="仿宋_GB2312"/>
          <w:sz w:val="32"/>
          <w:szCs w:val="32"/>
          <w:highlight w:val="none"/>
        </w:rPr>
        <w:t>万元，包括一般</w:t>
      </w:r>
      <w:r>
        <w:rPr>
          <w:rFonts w:hint="eastAsia" w:ascii="仿宋_GB2312" w:hAnsi="黑体" w:eastAsia="仿宋_GB2312"/>
          <w:sz w:val="32"/>
          <w:szCs w:val="32"/>
          <w:highlight w:val="none"/>
          <w:lang w:eastAsia="zh-CN"/>
        </w:rPr>
        <w:t>教育</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lang w:val="en-US" w:eastAsia="zh-CN"/>
        </w:rPr>
        <w:t>988.85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社会保障和就业</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lang w:val="en-US" w:eastAsia="zh-CN"/>
        </w:rPr>
        <w:t>95.71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卫生健康</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lang w:val="en-US" w:eastAsia="zh-CN"/>
        </w:rPr>
        <w:t>23.01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住房保障支出</w:t>
      </w:r>
      <w:r>
        <w:rPr>
          <w:rFonts w:hint="eastAsia" w:ascii="仿宋_GB2312" w:hAnsi="黑体" w:eastAsia="仿宋_GB2312"/>
          <w:sz w:val="32"/>
          <w:szCs w:val="32"/>
          <w:highlight w:val="none"/>
          <w:lang w:val="en-US" w:eastAsia="zh-CN"/>
        </w:rPr>
        <w:t>41.94万元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eastAsia="zh-CN"/>
        </w:rPr>
        <w:t>海口市港湾幼儿园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highlight w:val="none"/>
          <w:lang w:val="en-US" w:eastAsia="zh-CN"/>
        </w:rPr>
        <w:t>1149.51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用于教育支出。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教育（类）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988.85</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86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w:t>
      </w:r>
      <w:r>
        <w:rPr>
          <w:rFonts w:hint="eastAsia" w:ascii="仿宋_GB2312" w:hAnsi="黑体" w:eastAsia="仿宋_GB2312"/>
          <w:sz w:val="32"/>
          <w:szCs w:val="32"/>
          <w:highlight w:val="none"/>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95.71</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8.2</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卫生健康（类）支出</w:t>
      </w:r>
      <w:r>
        <w:rPr>
          <w:rFonts w:hint="eastAsia" w:ascii="仿宋_GB2312" w:hAnsi="黑体" w:eastAsia="仿宋_GB2312" w:cs="仿宋_GB2312"/>
          <w:sz w:val="32"/>
          <w:szCs w:val="32"/>
          <w:highlight w:val="none"/>
          <w:lang w:val="en-US" w:eastAsia="zh-CN"/>
        </w:rPr>
        <w:t>23.01</w:t>
      </w:r>
      <w:r>
        <w:rPr>
          <w:rFonts w:hint="eastAsia" w:ascii="仿宋_GB2312" w:hAnsi="黑体" w:eastAsia="仿宋_GB2312"/>
          <w:sz w:val="32"/>
          <w:szCs w:val="32"/>
          <w:highlight w:val="none"/>
          <w:lang w:val="en-US" w:eastAsia="zh-CN"/>
        </w:rPr>
        <w:t>万元，占2%；住房保障（类）支出41.94万元，占3.6%。</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lang w:eastAsia="zh-CN"/>
        </w:rPr>
        <w:t>教育支出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普通教育</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学前教育</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988.85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2.01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学前教育增加。</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lang w:eastAsia="zh-CN"/>
        </w:rPr>
        <w:t>社会保障和就业支出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行政事业单位养老支出</w:t>
      </w:r>
      <w:r>
        <w:rPr>
          <w:rFonts w:hint="eastAsia" w:ascii="仿宋_GB2312" w:hAnsi="黑体" w:eastAsia="仿宋_GB2312" w:cs="仿宋_GB2312"/>
          <w:sz w:val="32"/>
          <w:szCs w:val="32"/>
          <w:highlight w:val="none"/>
        </w:rPr>
        <w:t>（款）机关事业单位基本养老保险缴费支出（项）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63.81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9.56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新增在编人员，缴交基数增加。</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cs="仿宋_GB2312"/>
          <w:sz w:val="32"/>
          <w:szCs w:val="32"/>
          <w:highlight w:val="none"/>
          <w:lang w:eastAsia="zh-CN"/>
        </w:rPr>
        <w:t>社会保障和就业支出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行政事业单位养老支出</w:t>
      </w:r>
      <w:r>
        <w:rPr>
          <w:rFonts w:hint="eastAsia" w:ascii="仿宋_GB2312" w:hAnsi="黑体" w:eastAsia="仿宋_GB2312" w:cs="仿宋_GB2312"/>
          <w:sz w:val="32"/>
          <w:szCs w:val="32"/>
          <w:highlight w:val="none"/>
        </w:rPr>
        <w:t>（款）机关事业单位职业年金缴费支出（项）</w:t>
      </w:r>
      <w:r>
        <w:rPr>
          <w:rFonts w:hint="eastAsia" w:ascii="仿宋_GB2312" w:hAnsi="黑体" w:eastAsia="仿宋_GB2312" w:cs="仿宋_GB2312"/>
          <w:sz w:val="32"/>
          <w:szCs w:val="32"/>
          <w:highlight w:val="none"/>
          <w:lang w:val="en-US" w:eastAsia="zh-CN"/>
        </w:rPr>
        <w:t>2024年预算数为31.9万元，比上年预算增加4.77万元，主要是</w:t>
      </w:r>
      <w:r>
        <w:rPr>
          <w:rFonts w:hint="eastAsia" w:ascii="仿宋_GB2312" w:hAnsi="黑体" w:eastAsia="仿宋_GB2312"/>
          <w:sz w:val="32"/>
          <w:szCs w:val="32"/>
          <w:highlight w:val="none"/>
          <w:lang w:eastAsia="zh-CN"/>
        </w:rPr>
        <w:t>人员增加。</w:t>
      </w:r>
    </w:p>
    <w:p>
      <w:pPr>
        <w:numPr>
          <w:ilvl w:val="-1"/>
          <w:numId w:val="0"/>
        </w:numPr>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4.卫生健康支出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行政事业单位医疗</w:t>
      </w:r>
      <w:r>
        <w:rPr>
          <w:rFonts w:hint="eastAsia" w:ascii="仿宋_GB2312" w:hAnsi="黑体" w:eastAsia="仿宋_GB2312" w:cs="仿宋_GB2312"/>
          <w:sz w:val="32"/>
          <w:szCs w:val="32"/>
          <w:highlight w:val="none"/>
        </w:rPr>
        <w:t>（款）事业单位医疗（项）</w:t>
      </w:r>
      <w:r>
        <w:rPr>
          <w:rFonts w:hint="eastAsia" w:ascii="仿宋_GB2312" w:hAnsi="黑体" w:eastAsia="仿宋_GB2312" w:cs="仿宋_GB2312"/>
          <w:sz w:val="32"/>
          <w:szCs w:val="32"/>
          <w:highlight w:val="none"/>
          <w:lang w:val="en-US" w:eastAsia="zh-CN"/>
        </w:rPr>
        <w:t>2024年预算数为20.93万元，与去年增加0.98万元，主要是</w:t>
      </w:r>
      <w:r>
        <w:rPr>
          <w:rFonts w:hint="eastAsia" w:ascii="仿宋_GB2312" w:hAnsi="黑体" w:eastAsia="仿宋_GB2312"/>
          <w:sz w:val="32"/>
          <w:szCs w:val="32"/>
          <w:highlight w:val="none"/>
          <w:lang w:eastAsia="zh-CN"/>
        </w:rPr>
        <w:t>人员增加</w:t>
      </w:r>
      <w:r>
        <w:rPr>
          <w:rFonts w:hint="eastAsia" w:ascii="仿宋_GB2312" w:hAnsi="黑体" w:eastAsia="仿宋_GB2312" w:cs="仿宋_GB2312"/>
          <w:sz w:val="32"/>
          <w:szCs w:val="32"/>
          <w:highlight w:val="none"/>
          <w:lang w:val="en-US" w:eastAsia="zh-CN"/>
        </w:rPr>
        <w:t>。</w:t>
      </w:r>
    </w:p>
    <w:p>
      <w:pPr>
        <w:numPr>
          <w:ilvl w:val="-1"/>
          <w:numId w:val="0"/>
        </w:numPr>
        <w:ind w:firstLine="0"/>
        <w:rPr>
          <w:rFonts w:hint="eastAsia" w:ascii="仿宋_GB2312" w:hAnsi="宋体" w:eastAsia="仿宋_GB2312" w:cs="仿宋_GB2312"/>
          <w:i w:val="0"/>
          <w:iCs w:val="0"/>
          <w:caps w:val="0"/>
          <w:color w:val="000000"/>
          <w:spacing w:val="0"/>
          <w:sz w:val="32"/>
          <w:szCs w:val="32"/>
          <w:highlight w:val="none"/>
          <w:shd w:val="clear" w:fill="FFFFFF"/>
          <w:vertAlign w:val="baseline"/>
          <w:lang w:eastAsia="zh-CN"/>
        </w:rPr>
      </w:pPr>
      <w:r>
        <w:rPr>
          <w:rFonts w:hint="eastAsia" w:ascii="仿宋_GB2312" w:hAnsi="黑体" w:eastAsia="仿宋_GB2312" w:cs="仿宋_GB2312"/>
          <w:sz w:val="32"/>
          <w:szCs w:val="32"/>
          <w:highlight w:val="none"/>
          <w:lang w:val="en-US" w:eastAsia="zh-CN"/>
        </w:rPr>
        <w:t xml:space="preserve">   5.</w:t>
      </w:r>
      <w:r>
        <w:rPr>
          <w:rFonts w:ascii="仿宋_GB2312" w:hAnsi="宋体" w:eastAsia="仿宋_GB2312" w:cs="仿宋_GB2312"/>
          <w:i w:val="0"/>
          <w:iCs w:val="0"/>
          <w:caps w:val="0"/>
          <w:color w:val="000000"/>
          <w:spacing w:val="0"/>
          <w:sz w:val="32"/>
          <w:szCs w:val="32"/>
          <w:highlight w:val="none"/>
          <w:shd w:val="clear" w:fill="FFFFFF"/>
          <w:vertAlign w:val="baseline"/>
        </w:rPr>
        <w:t>卫生健康支出（类）行政事业单位医疗（款）</w:t>
      </w:r>
      <w:r>
        <w:rPr>
          <w:rFonts w:hint="eastAsia" w:ascii="仿宋_GB2312" w:hAnsi="宋体" w:eastAsia="仿宋_GB2312" w:cs="仿宋_GB2312"/>
          <w:i w:val="0"/>
          <w:iCs w:val="0"/>
          <w:caps w:val="0"/>
          <w:color w:val="000000"/>
          <w:spacing w:val="0"/>
          <w:sz w:val="32"/>
          <w:szCs w:val="32"/>
          <w:highlight w:val="none"/>
          <w:shd w:val="clear" w:fill="FFFFFF"/>
          <w:vertAlign w:val="baseline"/>
        </w:rPr>
        <w:t>其他行政事业单位医疗支出</w:t>
      </w:r>
      <w:r>
        <w:rPr>
          <w:rFonts w:ascii="仿宋_GB2312" w:hAnsi="宋体" w:eastAsia="仿宋_GB2312" w:cs="仿宋_GB2312"/>
          <w:i w:val="0"/>
          <w:iCs w:val="0"/>
          <w:caps w:val="0"/>
          <w:color w:val="000000"/>
          <w:spacing w:val="0"/>
          <w:sz w:val="32"/>
          <w:szCs w:val="32"/>
          <w:highlight w:val="none"/>
          <w:shd w:val="clear" w:fill="FFFFFF"/>
          <w:vertAlign w:val="baseline"/>
        </w:rPr>
        <w:t>（项）</w:t>
      </w:r>
      <w:r>
        <w:rPr>
          <w:rFonts w:hint="default" w:ascii="仿宋_GB2312" w:hAnsi="宋体" w:eastAsia="仿宋_GB2312" w:cs="仿宋_GB2312"/>
          <w:i w:val="0"/>
          <w:iCs w:val="0"/>
          <w:caps w:val="0"/>
          <w:color w:val="000000"/>
          <w:spacing w:val="0"/>
          <w:sz w:val="32"/>
          <w:szCs w:val="32"/>
          <w:highlight w:val="none"/>
          <w:shd w:val="clear" w:fill="FFFFFF"/>
          <w:vertAlign w:val="baseline"/>
        </w:rPr>
        <w:t>202</w:t>
      </w:r>
      <w:r>
        <w:rPr>
          <w:rFonts w:hint="eastAsia" w:ascii="仿宋_GB2312" w:hAnsi="宋体" w:eastAsia="仿宋_GB2312" w:cs="仿宋_GB2312"/>
          <w:i w:val="0"/>
          <w:iCs w:val="0"/>
          <w:caps w:val="0"/>
          <w:color w:val="000000"/>
          <w:spacing w:val="0"/>
          <w:sz w:val="32"/>
          <w:szCs w:val="32"/>
          <w:highlight w:val="none"/>
          <w:shd w:val="clear" w:fill="FFFFFF"/>
          <w:vertAlign w:val="baseline"/>
          <w:lang w:val="en-US" w:eastAsia="zh-CN"/>
        </w:rPr>
        <w:t>4</w:t>
      </w:r>
      <w:r>
        <w:rPr>
          <w:rFonts w:hint="default" w:ascii="仿宋_GB2312" w:hAnsi="宋体" w:eastAsia="仿宋_GB2312" w:cs="仿宋_GB2312"/>
          <w:i w:val="0"/>
          <w:iCs w:val="0"/>
          <w:caps w:val="0"/>
          <w:color w:val="000000"/>
          <w:spacing w:val="0"/>
          <w:sz w:val="32"/>
          <w:szCs w:val="32"/>
          <w:highlight w:val="none"/>
          <w:shd w:val="clear" w:fill="FFFFFF"/>
          <w:vertAlign w:val="baseline"/>
        </w:rPr>
        <w:t>年预算数为</w:t>
      </w:r>
      <w:r>
        <w:rPr>
          <w:rFonts w:hint="eastAsia" w:ascii="仿宋_GB2312" w:hAnsi="宋体" w:eastAsia="仿宋_GB2312" w:cs="仿宋_GB2312"/>
          <w:i w:val="0"/>
          <w:iCs w:val="0"/>
          <w:caps w:val="0"/>
          <w:color w:val="000000"/>
          <w:spacing w:val="0"/>
          <w:sz w:val="32"/>
          <w:szCs w:val="32"/>
          <w:highlight w:val="none"/>
          <w:shd w:val="clear" w:fill="FFFFFF"/>
          <w:vertAlign w:val="baseline"/>
          <w:lang w:val="en-US" w:eastAsia="zh-CN"/>
        </w:rPr>
        <w:t>2.08</w:t>
      </w:r>
      <w:r>
        <w:rPr>
          <w:rFonts w:hint="default" w:ascii="仿宋_GB2312" w:hAnsi="宋体" w:eastAsia="仿宋_GB2312" w:cs="仿宋_GB2312"/>
          <w:i w:val="0"/>
          <w:iCs w:val="0"/>
          <w:caps w:val="0"/>
          <w:color w:val="000000"/>
          <w:spacing w:val="0"/>
          <w:sz w:val="32"/>
          <w:szCs w:val="32"/>
          <w:highlight w:val="none"/>
          <w:shd w:val="clear" w:fill="FFFFFF"/>
          <w:vertAlign w:val="baseline"/>
        </w:rPr>
        <w:t>万元，</w:t>
      </w:r>
      <w:r>
        <w:rPr>
          <w:rFonts w:hint="eastAsia" w:ascii="仿宋_GB2312" w:hAnsi="宋体" w:eastAsia="仿宋_GB2312" w:cs="仿宋_GB2312"/>
          <w:i w:val="0"/>
          <w:iCs w:val="0"/>
          <w:caps w:val="0"/>
          <w:color w:val="000000"/>
          <w:spacing w:val="0"/>
          <w:sz w:val="32"/>
          <w:szCs w:val="32"/>
          <w:highlight w:val="none"/>
          <w:shd w:val="clear" w:fill="FFFFFF"/>
          <w:vertAlign w:val="baseline"/>
          <w:lang w:eastAsia="zh-CN"/>
        </w:rPr>
        <w:t>与</w:t>
      </w:r>
      <w:r>
        <w:rPr>
          <w:rFonts w:hint="default" w:ascii="仿宋_GB2312" w:hAnsi="宋体" w:eastAsia="仿宋_GB2312" w:cs="仿宋_GB2312"/>
          <w:i w:val="0"/>
          <w:iCs w:val="0"/>
          <w:caps w:val="0"/>
          <w:color w:val="000000"/>
          <w:spacing w:val="0"/>
          <w:sz w:val="32"/>
          <w:szCs w:val="32"/>
          <w:highlight w:val="none"/>
          <w:shd w:val="clear" w:fill="FFFFFF"/>
          <w:vertAlign w:val="baseline"/>
        </w:rPr>
        <w:t>上年预算数</w:t>
      </w:r>
      <w:r>
        <w:rPr>
          <w:rFonts w:hint="eastAsia" w:ascii="仿宋_GB2312" w:hAnsi="宋体" w:eastAsia="仿宋_GB2312" w:cs="仿宋_GB2312"/>
          <w:i w:val="0"/>
          <w:iCs w:val="0"/>
          <w:caps w:val="0"/>
          <w:color w:val="000000"/>
          <w:spacing w:val="0"/>
          <w:sz w:val="32"/>
          <w:szCs w:val="32"/>
          <w:highlight w:val="none"/>
          <w:shd w:val="clear" w:fill="FFFFFF"/>
          <w:vertAlign w:val="baseline"/>
          <w:lang w:eastAsia="zh-CN"/>
        </w:rPr>
        <w:t>持平。</w:t>
      </w:r>
    </w:p>
    <w:p>
      <w:pPr>
        <w:ind w:firstLine="640" w:firstLineChars="200"/>
        <w:rPr>
          <w:rFonts w:ascii="仿宋_GB2312" w:hAnsi="黑体" w:eastAsia="仿宋_GB2312"/>
          <w:sz w:val="32"/>
          <w:szCs w:val="32"/>
          <w:highlight w:val="none"/>
        </w:rPr>
      </w:pPr>
      <w:r>
        <w:rPr>
          <w:rFonts w:hint="eastAsia" w:ascii="仿宋_GB2312" w:hAnsi="宋体" w:eastAsia="仿宋_GB2312" w:cs="仿宋_GB2312"/>
          <w:i w:val="0"/>
          <w:iCs w:val="0"/>
          <w:caps w:val="0"/>
          <w:color w:val="000000"/>
          <w:spacing w:val="0"/>
          <w:sz w:val="32"/>
          <w:szCs w:val="32"/>
          <w:highlight w:val="none"/>
          <w:shd w:val="clear" w:fill="FFFFFF"/>
          <w:vertAlign w:val="baseline"/>
          <w:lang w:val="en-US" w:eastAsia="zh-CN"/>
        </w:rPr>
        <w:t xml:space="preserve">  6.住房保障支出（类）住房改革支出（款）住房公积金支出（项）2024年预算数为41.94万元，比上年预算数增加3.73万元，主要是</w:t>
      </w:r>
      <w:r>
        <w:rPr>
          <w:rFonts w:hint="eastAsia" w:ascii="仿宋_GB2312" w:hAnsi="宋体" w:eastAsia="仿宋_GB2312" w:cs="仿宋_GB2312"/>
          <w:i w:val="0"/>
          <w:iCs w:val="0"/>
          <w:caps w:val="0"/>
          <w:color w:val="000000"/>
          <w:spacing w:val="0"/>
          <w:sz w:val="32"/>
          <w:szCs w:val="32"/>
          <w:highlight w:val="none"/>
          <w:shd w:val="clear" w:fill="FFFFFF"/>
          <w:vertAlign w:val="baseline"/>
          <w:lang w:eastAsia="zh-CN"/>
        </w:rPr>
        <w:t>人员增加。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海口市港湾幼儿园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572.44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rPr>
        <w:t>人员经</w:t>
      </w:r>
      <w:r>
        <w:rPr>
          <w:rFonts w:hint="eastAsia" w:ascii="仿宋_GB2312" w:hAnsi="黑体" w:eastAsia="仿宋_GB2312"/>
          <w:sz w:val="32"/>
          <w:szCs w:val="32"/>
          <w:highlight w:val="none"/>
        </w:rPr>
        <w:t>费</w:t>
      </w:r>
      <w:r>
        <w:rPr>
          <w:rFonts w:hint="eastAsia" w:ascii="仿宋_GB2312" w:hAnsi="黑体" w:eastAsia="仿宋_GB2312" w:cs="仿宋_GB2312"/>
          <w:sz w:val="32"/>
          <w:szCs w:val="32"/>
          <w:highlight w:val="none"/>
          <w:lang w:val="en-US" w:eastAsia="zh-CN"/>
        </w:rPr>
        <w:t>530.92</w:t>
      </w:r>
      <w:r>
        <w:rPr>
          <w:rFonts w:hint="eastAsia" w:ascii="仿宋_GB2312" w:hAnsi="黑体" w:eastAsia="仿宋_GB2312"/>
          <w:sz w:val="32"/>
          <w:szCs w:val="32"/>
          <w:highlight w:val="none"/>
        </w:rPr>
        <w:t>万元，主要包括：基本工资、津贴补贴、</w:t>
      </w:r>
      <w:r>
        <w:rPr>
          <w:rFonts w:hint="eastAsia" w:ascii="仿宋_GB2312" w:hAnsi="黑体" w:eastAsia="仿宋_GB2312"/>
          <w:sz w:val="32"/>
          <w:szCs w:val="32"/>
          <w:highlight w:val="none"/>
          <w:lang w:eastAsia="zh-CN"/>
        </w:rPr>
        <w:t>绩效工资、机关事业单位基本养老保险缴费、职业年金缴费、职工基本医疗保险缴费</w:t>
      </w:r>
      <w:r>
        <w:rPr>
          <w:rFonts w:hint="eastAsia" w:ascii="仿宋_GB2312" w:hAnsi="黑体" w:eastAsia="仿宋_GB2312"/>
          <w:sz w:val="32"/>
          <w:szCs w:val="32"/>
          <w:highlight w:val="none"/>
        </w:rPr>
        <w:t>奖金、</w:t>
      </w:r>
      <w:r>
        <w:rPr>
          <w:rFonts w:hint="eastAsia" w:ascii="仿宋_GB2312" w:hAnsi="黑体" w:eastAsia="仿宋_GB2312"/>
          <w:sz w:val="32"/>
          <w:szCs w:val="32"/>
          <w:highlight w:val="none"/>
          <w:lang w:eastAsia="zh-CN"/>
        </w:rPr>
        <w:t>其他</w:t>
      </w:r>
      <w:r>
        <w:rPr>
          <w:rFonts w:hint="eastAsia" w:ascii="仿宋_GB2312" w:hAnsi="黑体" w:eastAsia="仿宋_GB2312"/>
          <w:sz w:val="32"/>
          <w:szCs w:val="32"/>
          <w:highlight w:val="none"/>
        </w:rPr>
        <w:t>社会保障缴费、住房公积金</w:t>
      </w:r>
      <w:r>
        <w:rPr>
          <w:rFonts w:hint="eastAsia" w:ascii="仿宋_GB2312" w:hAnsi="黑体" w:eastAsia="仿宋_GB2312"/>
          <w:sz w:val="32"/>
          <w:szCs w:val="32"/>
          <w:highlight w:val="none"/>
          <w:lang w:eastAsia="zh-CN"/>
        </w:rPr>
        <w:t>、医疗费、其他工资福利支出</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lang w:val="en-US" w:eastAsia="zh-CN"/>
        </w:rPr>
        <w:t>41.52</w:t>
      </w:r>
      <w:r>
        <w:rPr>
          <w:rFonts w:hint="eastAsia" w:ascii="仿宋_GB2312" w:hAnsi="黑体" w:eastAsia="仿宋_GB2312"/>
          <w:sz w:val="32"/>
          <w:szCs w:val="32"/>
          <w:highlight w:val="none"/>
        </w:rPr>
        <w:t>万元，主要包括：其他社会保障缴费</w:t>
      </w:r>
      <w:r>
        <w:rPr>
          <w:rFonts w:hint="eastAsia" w:ascii="仿宋_GB2312" w:hAnsi="黑体" w:eastAsia="仿宋_GB2312"/>
          <w:sz w:val="32"/>
          <w:szCs w:val="32"/>
          <w:highlight w:val="none"/>
          <w:lang w:eastAsia="zh-CN"/>
        </w:rPr>
        <w:t>、其他工资福利支出、</w:t>
      </w:r>
      <w:r>
        <w:rPr>
          <w:rFonts w:hint="eastAsia" w:ascii="仿宋_GB2312" w:hAnsi="黑体" w:eastAsia="仿宋_GB2312"/>
          <w:sz w:val="32"/>
          <w:szCs w:val="32"/>
          <w:highlight w:val="none"/>
        </w:rPr>
        <w:t>办公费、</w:t>
      </w:r>
      <w:r>
        <w:rPr>
          <w:rFonts w:hint="eastAsia" w:ascii="仿宋_GB2312" w:hAnsi="黑体" w:eastAsia="仿宋_GB2312"/>
          <w:sz w:val="32"/>
          <w:szCs w:val="32"/>
        </w:rPr>
        <w:t>水费、电费、</w:t>
      </w:r>
      <w:r>
        <w:rPr>
          <w:rFonts w:hint="eastAsia" w:ascii="仿宋_GB2312" w:hAnsi="黑体" w:eastAsia="仿宋_GB2312"/>
          <w:sz w:val="32"/>
          <w:szCs w:val="32"/>
          <w:lang w:eastAsia="zh-CN"/>
        </w:rPr>
        <w:t>物业管理费、维修（护）费、租赁费、专用材料费、工会经费、其他商品和服务支出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海口市港湾幼儿园</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海口市港湾幼儿园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本年度和上年度均未安排因公出国（境）经费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海口市港湾幼儿园</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主要原因是本年度与上年度均未安排公务用车购置及运行费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本年度与上年度均未安排公务接待费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海口市港湾幼儿园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本年度与上年度均未安排因公出国（境）经费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海口市港湾幼儿园</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本年度和上年度均未安排公务用车购置及运行费用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本年度和上年度均未安排公务接待费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海口市港湾幼儿园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海口市港湾幼儿园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我园无政府性基金预算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我园无政府性基金预算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我园无政府性资金预算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海口市港湾幼儿园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其他收入、上年结转</w:t>
      </w:r>
      <w:r>
        <w:rPr>
          <w:rFonts w:hint="eastAsia" w:ascii="仿宋_GB2312" w:hAnsi="黑体" w:eastAsia="仿宋_GB2312"/>
          <w:sz w:val="32"/>
          <w:szCs w:val="32"/>
        </w:rPr>
        <w:t>；支出包括：教育支出、社会保障和就业支出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highlight w:val="none"/>
          <w:lang w:eastAsia="zh-CN"/>
        </w:rPr>
        <w:t>支出、住房保障支出</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lang w:eastAsia="zh-CN"/>
        </w:rPr>
        <w:t>海口市港湾幼儿园</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年收支总预算</w:t>
      </w:r>
      <w:r>
        <w:rPr>
          <w:rFonts w:hint="eastAsia" w:ascii="仿宋_GB2312" w:hAnsi="黑体" w:eastAsia="仿宋_GB2312" w:cs="仿宋_GB2312"/>
          <w:sz w:val="32"/>
          <w:szCs w:val="32"/>
          <w:highlight w:val="none"/>
          <w:lang w:val="en-US" w:eastAsia="zh-CN"/>
        </w:rPr>
        <w:t>1208.99</w:t>
      </w:r>
      <w:r>
        <w:rPr>
          <w:rFonts w:hint="eastAsia" w:ascii="仿宋_GB2312" w:hAnsi="黑体" w:eastAsia="仿宋_GB2312"/>
          <w:sz w:val="32"/>
          <w:szCs w:val="32"/>
          <w:highlight w:val="none"/>
        </w:rPr>
        <w:t>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海口市港湾幼儿园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收入预算</w:t>
      </w:r>
      <w:r>
        <w:rPr>
          <w:rFonts w:hint="eastAsia" w:ascii="仿宋_GB2312" w:hAnsi="黑体" w:eastAsia="仿宋_GB2312" w:cs="仿宋_GB2312"/>
          <w:sz w:val="32"/>
          <w:szCs w:val="32"/>
          <w:highlight w:val="none"/>
          <w:lang w:val="en-US" w:eastAsia="zh-CN"/>
        </w:rPr>
        <w:t>1189.51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38.07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1111.44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93.4</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56.38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减少教育支出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海口市港湾幼儿园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highlight w:val="none"/>
          <w:lang w:val="en-US" w:eastAsia="zh-CN"/>
        </w:rPr>
        <w:t>1189.51</w:t>
      </w:r>
      <w:r>
        <w:rPr>
          <w:rFonts w:hint="eastAsia" w:ascii="仿宋_GB2312" w:hAnsi="黑体" w:eastAsia="仿宋_GB2312"/>
          <w:sz w:val="32"/>
          <w:szCs w:val="32"/>
        </w:rPr>
        <w:t>万元，其中：</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1028.85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86.5</w:t>
      </w:r>
      <w:r>
        <w:rPr>
          <w:rFonts w:hint="eastAsia" w:ascii="仿宋_GB2312" w:hAnsi="黑体" w:eastAsia="仿宋_GB2312"/>
          <w:sz w:val="32"/>
          <w:szCs w:val="32"/>
        </w:rPr>
        <w:t>%；社会保障和就业支出支出</w:t>
      </w:r>
      <w:r>
        <w:rPr>
          <w:rFonts w:hint="eastAsia" w:ascii="仿宋_GB2312" w:hAnsi="黑体" w:eastAsia="仿宋_GB2312" w:cs="仿宋_GB2312"/>
          <w:sz w:val="32"/>
          <w:szCs w:val="32"/>
          <w:lang w:val="en-US" w:eastAsia="zh-CN"/>
        </w:rPr>
        <w:t>95.71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23.01万元，占1.9%；住房保障支出41.94万元，占3.5%，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56.38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教育支出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海口市港湾幼儿园</w:t>
      </w:r>
      <w:r>
        <w:rPr>
          <w:rFonts w:hint="eastAsia" w:ascii="仿宋_GB2312" w:hAnsi="黑体" w:eastAsia="仿宋_GB2312" w:cs="仿宋_GB2312"/>
          <w:sz w:val="32"/>
          <w:szCs w:val="32"/>
          <w:lang w:val="en-US" w:eastAsia="zh-CN"/>
        </w:rPr>
        <w:t>12</w:t>
      </w:r>
      <w:bookmarkStart w:id="0" w:name="_GoBack"/>
      <w:bookmarkEnd w:id="0"/>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1111.44</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40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NTk3MTA5MDRkNTBmYWFkNThiNGFiYmVkOTA4ZjYifQ=="/>
  </w:docVars>
  <w:rsids>
    <w:rsidRoot w:val="00000000"/>
    <w:rsid w:val="002E1F6F"/>
    <w:rsid w:val="00B970B2"/>
    <w:rsid w:val="06497A35"/>
    <w:rsid w:val="079463A4"/>
    <w:rsid w:val="0B326BCF"/>
    <w:rsid w:val="0B907FB8"/>
    <w:rsid w:val="0E485574"/>
    <w:rsid w:val="128F6483"/>
    <w:rsid w:val="14311B59"/>
    <w:rsid w:val="1665623F"/>
    <w:rsid w:val="1824469F"/>
    <w:rsid w:val="19354AF5"/>
    <w:rsid w:val="1B1F1731"/>
    <w:rsid w:val="1F525822"/>
    <w:rsid w:val="26166712"/>
    <w:rsid w:val="311741D6"/>
    <w:rsid w:val="359C09A8"/>
    <w:rsid w:val="35A90A97"/>
    <w:rsid w:val="35E01394"/>
    <w:rsid w:val="370B6CF4"/>
    <w:rsid w:val="37223C9D"/>
    <w:rsid w:val="38E707BE"/>
    <w:rsid w:val="390E4110"/>
    <w:rsid w:val="3B675D5A"/>
    <w:rsid w:val="3CC05CB2"/>
    <w:rsid w:val="3FA27361"/>
    <w:rsid w:val="3FD64023"/>
    <w:rsid w:val="455B51F6"/>
    <w:rsid w:val="466A3A4F"/>
    <w:rsid w:val="4F727A5C"/>
    <w:rsid w:val="50E578E9"/>
    <w:rsid w:val="525163F6"/>
    <w:rsid w:val="52542589"/>
    <w:rsid w:val="58134E48"/>
    <w:rsid w:val="5B2F559E"/>
    <w:rsid w:val="5C835D6E"/>
    <w:rsid w:val="5D143223"/>
    <w:rsid w:val="60D80D60"/>
    <w:rsid w:val="637F7835"/>
    <w:rsid w:val="655D3BA6"/>
    <w:rsid w:val="68626D50"/>
    <w:rsid w:val="687D4F85"/>
    <w:rsid w:val="6F833530"/>
    <w:rsid w:val="70BF18A5"/>
    <w:rsid w:val="740417DA"/>
    <w:rsid w:val="748046EA"/>
    <w:rsid w:val="75671722"/>
    <w:rsid w:val="758F2A44"/>
    <w:rsid w:val="766B6442"/>
    <w:rsid w:val="78F61EF0"/>
    <w:rsid w:val="79640638"/>
    <w:rsid w:val="7AA46A99"/>
    <w:rsid w:val="7DFB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2022-09-27T10:18:00Z</dcterms:created>
  <dc:creator>Administrator</dc:creator>
  <cp:lastModifiedBy>Administrator</cp:lastModifiedBy>
  <dcterms:modified xsi:type="dcterms:W3CDTF">2024-02-21T03:13:22Z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E48ED748C60249468218D8213205B428</vt:lpwstr>
  </property>
</Properties>
</file>